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D7FE" w14:textId="6F721557" w:rsidR="00803650" w:rsidRPr="00803650" w:rsidRDefault="00803650" w:rsidP="00803650">
      <w:pPr>
        <w:shd w:val="clear" w:color="auto" w:fill="FFFFFF"/>
        <w:spacing w:after="0" w:line="240" w:lineRule="auto"/>
        <w:outlineLvl w:val="0"/>
        <w:rPr>
          <w:rFonts w:ascii="Arial" w:eastAsia="Times New Roman" w:hAnsi="Arial" w:cs="Arial"/>
          <w:b/>
          <w:bCs/>
          <w:color w:val="0B0C0C"/>
          <w:kern w:val="36"/>
          <w:sz w:val="32"/>
          <w:szCs w:val="32"/>
          <w:lang w:eastAsia="en-GB"/>
          <w14:ligatures w14:val="none"/>
        </w:rPr>
      </w:pPr>
    </w:p>
    <w:p w14:paraId="065F0C66" w14:textId="0A5B016A" w:rsidR="00DE1BC3" w:rsidRPr="00F743CF" w:rsidRDefault="009F019E" w:rsidP="00DE1BC3">
      <w:pPr>
        <w:rPr>
          <w:rFonts w:ascii="Arial" w:hAnsi="Arial" w:cs="Arial"/>
          <w:b/>
          <w:bCs/>
          <w:sz w:val="24"/>
          <w:szCs w:val="24"/>
        </w:rPr>
      </w:pPr>
      <w:r w:rsidRPr="009F019E">
        <w:rPr>
          <w:rFonts w:ascii="Arial" w:hAnsi="Arial" w:cs="Arial"/>
          <w:b/>
          <w:bCs/>
          <w:sz w:val="24"/>
          <w:szCs w:val="24"/>
        </w:rPr>
        <w:t>Looking to the future – great member security and rebalancing risk.</w:t>
      </w:r>
    </w:p>
    <w:p w14:paraId="076B5862" w14:textId="77777777" w:rsidR="00DE1BC3" w:rsidRPr="00F743CF" w:rsidRDefault="00DE1BC3" w:rsidP="00DE1BC3">
      <w:pPr>
        <w:rPr>
          <w:rFonts w:ascii="Arial" w:hAnsi="Arial" w:cs="Arial"/>
          <w:b/>
          <w:bCs/>
          <w:sz w:val="24"/>
          <w:szCs w:val="24"/>
        </w:rPr>
      </w:pPr>
      <w:r w:rsidRPr="00F743CF">
        <w:rPr>
          <w:rFonts w:ascii="Arial" w:hAnsi="Arial" w:cs="Arial"/>
          <w:b/>
          <w:bCs/>
          <w:noProof/>
          <w:sz w:val="24"/>
          <w:szCs w:val="24"/>
        </w:rPr>
        <mc:AlternateContent>
          <mc:Choice Requires="wpg">
            <w:drawing>
              <wp:inline distT="0" distB="0" distL="0" distR="0" wp14:anchorId="297D8747" wp14:editId="4FBB8915">
                <wp:extent cx="6158230" cy="6096"/>
                <wp:effectExtent l="0" t="0" r="0" b="0"/>
                <wp:docPr id="11199" name="Group 1119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3412" name="Shape 1341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921E45E" id="Group 11199"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">
                <v:shape id="Shape 13412"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" path="m,l6158230,r,9144l,9144,,e" fillcolor="black" stroked="f" strokeweight="0">
                  <v:stroke miterlimit="83231f" joinstyle="miter"/>
                  <v:path arrowok="t" textboxrect="0,0,6158230,9144"/>
                </v:shape>
                <w10:anchorlock/>
              </v:group>
            </w:pict>
          </mc:Fallback>
        </mc:AlternateContent>
      </w:r>
    </w:p>
    <w:p w14:paraId="3C2A6B56"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4264A3E0" w14:textId="5A3C3A27" w:rsidR="00DE1BC3" w:rsidRPr="00F743CF" w:rsidRDefault="00DE1BC3" w:rsidP="00DE1BC3">
      <w:pPr>
        <w:rPr>
          <w:rFonts w:ascii="Arial" w:hAnsi="Arial" w:cs="Arial"/>
          <w:b/>
          <w:bCs/>
          <w:sz w:val="24"/>
          <w:szCs w:val="24"/>
        </w:rPr>
      </w:pPr>
      <w:r w:rsidRPr="00F743CF">
        <w:rPr>
          <w:rFonts w:ascii="Arial" w:hAnsi="Arial" w:cs="Arial"/>
          <w:b/>
          <w:bCs/>
          <w:sz w:val="24"/>
          <w:szCs w:val="24"/>
        </w:rPr>
        <w:t>Subm</w:t>
      </w:r>
      <w:r w:rsidR="002D3116">
        <w:rPr>
          <w:rFonts w:ascii="Arial" w:hAnsi="Arial" w:cs="Arial"/>
          <w:b/>
          <w:bCs/>
          <w:sz w:val="24"/>
          <w:szCs w:val="24"/>
        </w:rPr>
        <w:t>ission to Department for</w:t>
      </w:r>
      <w:r w:rsidR="00695DD2">
        <w:rPr>
          <w:rFonts w:ascii="Arial" w:hAnsi="Arial" w:cs="Arial"/>
          <w:b/>
          <w:bCs/>
          <w:sz w:val="24"/>
          <w:szCs w:val="24"/>
        </w:rPr>
        <w:t xml:space="preserve"> Work and Pensions </w:t>
      </w:r>
      <w:r w:rsidR="002D3116">
        <w:rPr>
          <w:rFonts w:ascii="Arial" w:hAnsi="Arial" w:cs="Arial"/>
          <w:b/>
          <w:bCs/>
          <w:sz w:val="24"/>
          <w:szCs w:val="24"/>
        </w:rPr>
        <w:t xml:space="preserve"> </w:t>
      </w:r>
    </w:p>
    <w:p w14:paraId="29EF95DA"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67549EFD"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34644519"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05BBAD39"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0BF10EB8"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39CE665C"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3E39B622"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470D009B"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58DD145F"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34636717"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6476AA61"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377340F4"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5B8F91D4"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2DDA4CE8"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2AC5206C"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6779954A"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3E6131B7"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31BD20A8"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3F9AAB71"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2BAFE2CC"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159C704C" w14:textId="77777777" w:rsidR="00DE1BC3" w:rsidRPr="00F743CF" w:rsidRDefault="00DE1BC3" w:rsidP="00DE1BC3">
      <w:pPr>
        <w:rPr>
          <w:rFonts w:ascii="Arial" w:hAnsi="Arial" w:cs="Arial"/>
          <w:b/>
          <w:bCs/>
          <w:sz w:val="24"/>
          <w:szCs w:val="24"/>
        </w:rPr>
      </w:pPr>
    </w:p>
    <w:p w14:paraId="2D8CD253"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0E6D9545"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Chartered Institute of Personnel and Development (CIPD)  </w:t>
      </w:r>
    </w:p>
    <w:p w14:paraId="1D0426C0" w14:textId="77777777" w:rsidR="00DE1BC3" w:rsidRPr="00F743CF" w:rsidRDefault="00DE1BC3" w:rsidP="00DE1BC3">
      <w:pPr>
        <w:rPr>
          <w:rFonts w:ascii="Arial" w:hAnsi="Arial" w:cs="Arial"/>
          <w:b/>
          <w:bCs/>
          <w:sz w:val="24"/>
          <w:szCs w:val="24"/>
        </w:rPr>
      </w:pPr>
      <w:r w:rsidRPr="00F743CF">
        <w:rPr>
          <w:rFonts w:ascii="Arial" w:hAnsi="Arial" w:cs="Arial"/>
          <w:b/>
          <w:bCs/>
          <w:sz w:val="24"/>
          <w:szCs w:val="24"/>
        </w:rPr>
        <w:t xml:space="preserve"> </w:t>
      </w:r>
    </w:p>
    <w:p w14:paraId="434F4D72" w14:textId="629CBD3C" w:rsidR="00DE1BC3" w:rsidRPr="00F743CF" w:rsidRDefault="00695DD2" w:rsidP="00DE1BC3">
      <w:pPr>
        <w:rPr>
          <w:rFonts w:ascii="Arial" w:hAnsi="Arial" w:cs="Arial"/>
          <w:b/>
          <w:bCs/>
          <w:sz w:val="24"/>
          <w:szCs w:val="24"/>
        </w:rPr>
      </w:pPr>
      <w:r>
        <w:rPr>
          <w:rFonts w:ascii="Arial" w:hAnsi="Arial" w:cs="Arial"/>
          <w:b/>
          <w:bCs/>
          <w:sz w:val="24"/>
          <w:szCs w:val="24"/>
        </w:rPr>
        <w:t>January</w:t>
      </w:r>
      <w:r w:rsidR="00DE1BC3" w:rsidRPr="00F743CF">
        <w:rPr>
          <w:rFonts w:ascii="Arial" w:hAnsi="Arial" w:cs="Arial"/>
          <w:b/>
          <w:bCs/>
          <w:sz w:val="24"/>
          <w:szCs w:val="24"/>
        </w:rPr>
        <w:t xml:space="preserve"> 202</w:t>
      </w:r>
      <w:r>
        <w:rPr>
          <w:rFonts w:ascii="Arial" w:hAnsi="Arial" w:cs="Arial"/>
          <w:b/>
          <w:bCs/>
          <w:sz w:val="24"/>
          <w:szCs w:val="24"/>
        </w:rPr>
        <w:t>4</w:t>
      </w:r>
      <w:r w:rsidR="00DE1BC3" w:rsidRPr="00F743CF">
        <w:rPr>
          <w:rFonts w:ascii="Arial" w:hAnsi="Arial" w:cs="Arial"/>
          <w:b/>
          <w:bCs/>
          <w:sz w:val="24"/>
          <w:szCs w:val="24"/>
        </w:rPr>
        <w:t xml:space="preserve"> </w:t>
      </w:r>
    </w:p>
    <w:p w14:paraId="545AE302" w14:textId="77777777" w:rsidR="00DE1BC3" w:rsidRPr="00F743CF" w:rsidRDefault="00DE1BC3" w:rsidP="00DE1BC3">
      <w:pPr>
        <w:rPr>
          <w:rFonts w:ascii="Arial" w:hAnsi="Arial" w:cs="Arial"/>
          <w:b/>
          <w:bCs/>
          <w:i/>
          <w:iCs/>
          <w:sz w:val="22"/>
        </w:rPr>
      </w:pPr>
      <w:r w:rsidRPr="00F743CF">
        <w:rPr>
          <w:rFonts w:ascii="Arial" w:hAnsi="Arial" w:cs="Arial"/>
          <w:b/>
          <w:bCs/>
          <w:i/>
          <w:iCs/>
          <w:sz w:val="22"/>
        </w:rPr>
        <w:t xml:space="preserve"> </w:t>
      </w:r>
    </w:p>
    <w:p w14:paraId="3DC3A057" w14:textId="77777777" w:rsidR="00DE1BC3" w:rsidRPr="00503AAC" w:rsidRDefault="00DE1BC3" w:rsidP="00DE1BC3">
      <w:pPr>
        <w:rPr>
          <w:rFonts w:ascii="Arial" w:hAnsi="Arial" w:cs="Arial"/>
          <w:b/>
          <w:bCs/>
          <w:sz w:val="22"/>
          <w:u w:val="single"/>
        </w:rPr>
      </w:pPr>
    </w:p>
    <w:p w14:paraId="14EAF091" w14:textId="77777777" w:rsidR="00DE1BC3" w:rsidRPr="00F743CF" w:rsidRDefault="00DE1BC3" w:rsidP="00DE1BC3">
      <w:pPr>
        <w:rPr>
          <w:rFonts w:ascii="Arial" w:hAnsi="Arial" w:cs="Arial"/>
          <w:b/>
          <w:bCs/>
          <w:sz w:val="22"/>
          <w:u w:val="single"/>
        </w:rPr>
      </w:pPr>
      <w:r w:rsidRPr="00F743CF">
        <w:rPr>
          <w:rFonts w:ascii="Arial" w:hAnsi="Arial" w:cs="Arial"/>
          <w:b/>
          <w:bCs/>
          <w:sz w:val="22"/>
          <w:u w:val="single"/>
        </w:rPr>
        <w:t>Background</w:t>
      </w:r>
      <w:r w:rsidRPr="00F743CF">
        <w:rPr>
          <w:rFonts w:ascii="Arial" w:hAnsi="Arial" w:cs="Arial"/>
          <w:b/>
          <w:bCs/>
          <w:sz w:val="22"/>
        </w:rPr>
        <w:t xml:space="preserve"> </w:t>
      </w:r>
    </w:p>
    <w:p w14:paraId="141B9EAE" w14:textId="77777777" w:rsidR="00DE1BC3" w:rsidRPr="00F743CF" w:rsidRDefault="00DE1BC3" w:rsidP="00DE1BC3">
      <w:pPr>
        <w:rPr>
          <w:rFonts w:ascii="Arial" w:hAnsi="Arial" w:cs="Arial"/>
          <w:b/>
          <w:bCs/>
          <w:sz w:val="22"/>
        </w:rPr>
      </w:pPr>
      <w:r w:rsidRPr="00F743CF">
        <w:rPr>
          <w:rFonts w:ascii="Arial" w:hAnsi="Arial" w:cs="Arial"/>
          <w:b/>
          <w:bCs/>
          <w:sz w:val="22"/>
        </w:rPr>
        <w:t xml:space="preserve"> </w:t>
      </w:r>
    </w:p>
    <w:p w14:paraId="02A32EF0" w14:textId="77777777" w:rsidR="00DE1BC3" w:rsidRPr="00F743CF" w:rsidRDefault="00DE1BC3" w:rsidP="00DE1BC3">
      <w:pPr>
        <w:rPr>
          <w:rFonts w:ascii="Arial" w:hAnsi="Arial" w:cs="Arial"/>
          <w:sz w:val="22"/>
        </w:rPr>
      </w:pPr>
      <w:r w:rsidRPr="00F743CF">
        <w:rPr>
          <w:rFonts w:ascii="Arial" w:hAnsi="Arial" w:cs="Arial"/>
          <w:sz w:val="22"/>
        </w:rPr>
        <w:t xml:space="preserve">The CIPD is the professional body for HR and people development. The not-for-profit organisation champions better work and working lives and has been setting the benchmark for excellence in people and organisation development for more than 100 years. It has 155,000 members across the world, provides thought leadership through independent research on the world of work, and offers professional training and accreditation for those working in HR and learning and development.  </w:t>
      </w:r>
    </w:p>
    <w:p w14:paraId="494C69BB" w14:textId="77777777" w:rsidR="00DE1BC3" w:rsidRPr="00F743CF" w:rsidRDefault="00DE1BC3" w:rsidP="00DE1BC3">
      <w:pPr>
        <w:rPr>
          <w:rFonts w:ascii="Arial" w:hAnsi="Arial" w:cs="Arial"/>
          <w:sz w:val="22"/>
        </w:rPr>
      </w:pPr>
      <w:r w:rsidRPr="00F743CF">
        <w:rPr>
          <w:rFonts w:ascii="Arial" w:hAnsi="Arial" w:cs="Arial"/>
          <w:sz w:val="22"/>
        </w:rPr>
        <w:t xml:space="preserve">Public policy at the CIPD draws on our extensive research and thought leadership, practical </w:t>
      </w:r>
      <w:proofErr w:type="gramStart"/>
      <w:r w:rsidRPr="00F743CF">
        <w:rPr>
          <w:rFonts w:ascii="Arial" w:hAnsi="Arial" w:cs="Arial"/>
          <w:sz w:val="22"/>
        </w:rPr>
        <w:t>advice</w:t>
      </w:r>
      <w:proofErr w:type="gramEnd"/>
      <w:r w:rsidRPr="00F743CF">
        <w:rPr>
          <w:rFonts w:ascii="Arial" w:hAnsi="Arial" w:cs="Arial"/>
          <w:sz w:val="22"/>
        </w:rPr>
        <w:t xml:space="preserve"> and guidance, along with the experience and expertise of our diverse membership, to inform and shape debate, government policy and legislation for the benefit of employees and employers, to improve best practice in the workplace, to promote high standards of work and to represent the interests of our members at the highest level. </w:t>
      </w:r>
    </w:p>
    <w:p w14:paraId="5648181F" w14:textId="77777777" w:rsidR="00DE1BC3" w:rsidRPr="00F743CF" w:rsidRDefault="00DE1BC3" w:rsidP="00DE1BC3">
      <w:pPr>
        <w:rPr>
          <w:rFonts w:ascii="Arial" w:hAnsi="Arial" w:cs="Arial"/>
          <w:i/>
          <w:iCs/>
          <w:sz w:val="22"/>
        </w:rPr>
      </w:pPr>
    </w:p>
    <w:p w14:paraId="26D24FC1" w14:textId="77777777" w:rsidR="00DE1BC3" w:rsidRPr="00F743CF" w:rsidRDefault="00DE1BC3" w:rsidP="00DE1BC3">
      <w:pPr>
        <w:rPr>
          <w:rFonts w:ascii="Arial" w:hAnsi="Arial" w:cs="Arial"/>
          <w:i/>
          <w:iCs/>
          <w:sz w:val="22"/>
        </w:rPr>
      </w:pPr>
    </w:p>
    <w:p w14:paraId="6D4A6791" w14:textId="77777777" w:rsidR="00DE1BC3" w:rsidRPr="00F743CF" w:rsidRDefault="00DE1BC3" w:rsidP="00DE1BC3">
      <w:pPr>
        <w:rPr>
          <w:rFonts w:ascii="Arial" w:hAnsi="Arial" w:cs="Arial"/>
          <w:b/>
          <w:bCs/>
          <w:i/>
          <w:iCs/>
          <w:sz w:val="22"/>
        </w:rPr>
      </w:pPr>
    </w:p>
    <w:p w14:paraId="5A741851" w14:textId="77777777" w:rsidR="00DE1BC3" w:rsidRPr="00F743CF" w:rsidRDefault="00DE1BC3" w:rsidP="00DE1BC3">
      <w:pPr>
        <w:rPr>
          <w:rFonts w:ascii="Arial" w:hAnsi="Arial" w:cs="Arial"/>
          <w:b/>
          <w:bCs/>
          <w:i/>
          <w:iCs/>
          <w:sz w:val="22"/>
        </w:rPr>
      </w:pPr>
    </w:p>
    <w:p w14:paraId="32D5B1F8" w14:textId="77777777" w:rsidR="00DE1BC3" w:rsidRPr="00F743CF" w:rsidRDefault="00DE1BC3" w:rsidP="00DE1BC3">
      <w:pPr>
        <w:rPr>
          <w:rFonts w:ascii="Arial" w:hAnsi="Arial" w:cs="Arial"/>
          <w:b/>
          <w:bCs/>
          <w:i/>
          <w:iCs/>
          <w:sz w:val="22"/>
        </w:rPr>
      </w:pPr>
    </w:p>
    <w:p w14:paraId="4B194911" w14:textId="77777777" w:rsidR="00DE1BC3" w:rsidRPr="00F743CF" w:rsidRDefault="00DE1BC3" w:rsidP="00DE1BC3">
      <w:pPr>
        <w:rPr>
          <w:rFonts w:ascii="Arial" w:hAnsi="Arial" w:cs="Arial"/>
          <w:b/>
          <w:bCs/>
          <w:i/>
          <w:iCs/>
          <w:sz w:val="22"/>
        </w:rPr>
      </w:pPr>
    </w:p>
    <w:p w14:paraId="2414E014" w14:textId="77777777" w:rsidR="00DE1BC3" w:rsidRPr="00F743CF" w:rsidRDefault="00DE1BC3" w:rsidP="00DE1BC3">
      <w:pPr>
        <w:rPr>
          <w:rFonts w:ascii="Arial" w:hAnsi="Arial" w:cs="Arial"/>
          <w:b/>
          <w:bCs/>
          <w:i/>
          <w:iCs/>
          <w:sz w:val="22"/>
        </w:rPr>
      </w:pPr>
    </w:p>
    <w:p w14:paraId="4FE51D02" w14:textId="77777777" w:rsidR="00DE1BC3" w:rsidRPr="00F743CF" w:rsidRDefault="00DE1BC3" w:rsidP="00DE1BC3">
      <w:pPr>
        <w:rPr>
          <w:rFonts w:ascii="Arial" w:hAnsi="Arial" w:cs="Arial"/>
          <w:b/>
          <w:bCs/>
          <w:i/>
          <w:iCs/>
          <w:sz w:val="22"/>
        </w:rPr>
      </w:pPr>
    </w:p>
    <w:p w14:paraId="2396A2FB" w14:textId="77777777" w:rsidR="00DE1BC3" w:rsidRPr="00F743CF" w:rsidRDefault="00DE1BC3" w:rsidP="00DE1BC3">
      <w:pPr>
        <w:rPr>
          <w:rFonts w:ascii="Arial" w:hAnsi="Arial" w:cs="Arial"/>
          <w:b/>
          <w:bCs/>
          <w:i/>
          <w:iCs/>
          <w:sz w:val="22"/>
        </w:rPr>
      </w:pPr>
    </w:p>
    <w:p w14:paraId="64F73513" w14:textId="77777777" w:rsidR="00DE1BC3" w:rsidRPr="00F743CF" w:rsidRDefault="00DE1BC3" w:rsidP="00DE1BC3">
      <w:pPr>
        <w:rPr>
          <w:rFonts w:ascii="Arial" w:hAnsi="Arial" w:cs="Arial"/>
          <w:b/>
          <w:bCs/>
          <w:i/>
          <w:iCs/>
          <w:sz w:val="22"/>
        </w:rPr>
      </w:pPr>
    </w:p>
    <w:p w14:paraId="7ABBF516" w14:textId="77777777" w:rsidR="00DE1BC3" w:rsidRPr="00F743CF" w:rsidRDefault="00DE1BC3" w:rsidP="00DE1BC3">
      <w:pPr>
        <w:rPr>
          <w:rFonts w:ascii="Arial" w:hAnsi="Arial" w:cs="Arial"/>
          <w:b/>
          <w:bCs/>
          <w:i/>
          <w:iCs/>
          <w:sz w:val="22"/>
        </w:rPr>
      </w:pPr>
    </w:p>
    <w:p w14:paraId="17B64F5F" w14:textId="77777777" w:rsidR="00DE1BC3" w:rsidRPr="00F743CF" w:rsidRDefault="00DE1BC3" w:rsidP="00DE1BC3">
      <w:pPr>
        <w:rPr>
          <w:rFonts w:ascii="Arial" w:hAnsi="Arial" w:cs="Arial"/>
          <w:b/>
          <w:bCs/>
          <w:i/>
          <w:iCs/>
          <w:sz w:val="22"/>
        </w:rPr>
      </w:pPr>
    </w:p>
    <w:p w14:paraId="480FA516" w14:textId="77777777" w:rsidR="00DE1BC3" w:rsidRPr="00F743CF" w:rsidRDefault="00DE1BC3" w:rsidP="00DE1BC3">
      <w:pPr>
        <w:rPr>
          <w:rFonts w:ascii="Arial" w:hAnsi="Arial" w:cs="Arial"/>
          <w:b/>
          <w:bCs/>
          <w:i/>
          <w:iCs/>
          <w:sz w:val="22"/>
        </w:rPr>
      </w:pPr>
    </w:p>
    <w:p w14:paraId="1B3D11F7" w14:textId="77777777" w:rsidR="00DE1BC3" w:rsidRDefault="00DE1BC3" w:rsidP="00DE1BC3">
      <w:pPr>
        <w:rPr>
          <w:rFonts w:ascii="Arial" w:hAnsi="Arial" w:cs="Arial"/>
          <w:b/>
          <w:bCs/>
          <w:i/>
          <w:iCs/>
          <w:sz w:val="22"/>
        </w:rPr>
      </w:pPr>
    </w:p>
    <w:p w14:paraId="10E6E376" w14:textId="77777777" w:rsidR="00DE1BC3" w:rsidRDefault="00DE1BC3" w:rsidP="00DE1BC3">
      <w:pPr>
        <w:rPr>
          <w:rFonts w:ascii="Arial" w:hAnsi="Arial" w:cs="Arial"/>
          <w:b/>
          <w:bCs/>
          <w:i/>
          <w:iCs/>
          <w:sz w:val="22"/>
        </w:rPr>
      </w:pPr>
    </w:p>
    <w:p w14:paraId="04B0D839" w14:textId="77777777" w:rsidR="00DE1BC3" w:rsidRDefault="00DE1BC3" w:rsidP="00DE1BC3">
      <w:pPr>
        <w:rPr>
          <w:rFonts w:ascii="Arial" w:hAnsi="Arial" w:cs="Arial"/>
          <w:b/>
          <w:bCs/>
          <w:i/>
          <w:iCs/>
          <w:sz w:val="22"/>
        </w:rPr>
      </w:pPr>
    </w:p>
    <w:p w14:paraId="0F63B895" w14:textId="77777777" w:rsidR="00DE1BC3" w:rsidRDefault="00DE1BC3" w:rsidP="00DE1BC3">
      <w:pPr>
        <w:rPr>
          <w:rFonts w:ascii="Arial" w:hAnsi="Arial" w:cs="Arial"/>
          <w:b/>
          <w:bCs/>
          <w:i/>
          <w:iCs/>
          <w:sz w:val="22"/>
        </w:rPr>
      </w:pPr>
    </w:p>
    <w:p w14:paraId="7FACF69B" w14:textId="77777777" w:rsidR="00DE1BC3" w:rsidRDefault="00DE1BC3" w:rsidP="00DE1BC3">
      <w:pPr>
        <w:rPr>
          <w:rFonts w:ascii="Arial" w:hAnsi="Arial" w:cs="Arial"/>
          <w:b/>
          <w:bCs/>
          <w:i/>
          <w:iCs/>
          <w:sz w:val="22"/>
        </w:rPr>
      </w:pPr>
    </w:p>
    <w:p w14:paraId="4451C3AE" w14:textId="77777777" w:rsidR="006A14E9" w:rsidRDefault="006A14E9">
      <w:pPr>
        <w:rPr>
          <w:sz w:val="24"/>
          <w:szCs w:val="24"/>
        </w:rPr>
      </w:pPr>
    </w:p>
    <w:p w14:paraId="6B982B03" w14:textId="77777777" w:rsidR="000516A7" w:rsidRDefault="000516A7">
      <w:pPr>
        <w:rPr>
          <w:sz w:val="24"/>
          <w:szCs w:val="24"/>
        </w:rPr>
      </w:pPr>
    </w:p>
    <w:p w14:paraId="53710DFF" w14:textId="77777777" w:rsidR="000516A7" w:rsidRDefault="000516A7">
      <w:pPr>
        <w:rPr>
          <w:sz w:val="24"/>
          <w:szCs w:val="24"/>
        </w:rPr>
      </w:pPr>
    </w:p>
    <w:p w14:paraId="32BDCAA3" w14:textId="77777777" w:rsidR="00C2118D" w:rsidRDefault="00C2118D">
      <w:pPr>
        <w:rPr>
          <w:rFonts w:ascii="Arial" w:hAnsi="Arial" w:cs="Arial"/>
          <w:b/>
          <w:bCs/>
          <w:sz w:val="22"/>
          <w:u w:val="single"/>
        </w:rPr>
      </w:pPr>
    </w:p>
    <w:p w14:paraId="04F3E74B" w14:textId="2F719069" w:rsidR="004840E7" w:rsidRPr="006E04C1" w:rsidRDefault="000516A7">
      <w:pPr>
        <w:rPr>
          <w:rFonts w:ascii="Arial" w:hAnsi="Arial" w:cs="Arial"/>
          <w:b/>
          <w:bCs/>
          <w:sz w:val="22"/>
          <w:u w:val="single"/>
        </w:rPr>
      </w:pPr>
      <w:r w:rsidRPr="000516A7">
        <w:rPr>
          <w:rFonts w:ascii="Arial" w:hAnsi="Arial" w:cs="Arial"/>
          <w:b/>
          <w:bCs/>
          <w:sz w:val="22"/>
          <w:u w:val="single"/>
        </w:rPr>
        <w:t xml:space="preserve">Our Response </w:t>
      </w:r>
    </w:p>
    <w:p w14:paraId="5686C640" w14:textId="48825AA5" w:rsidR="00816363" w:rsidRDefault="00816363" w:rsidP="001B78F9">
      <w:pPr>
        <w:spacing w:after="0"/>
        <w:rPr>
          <w:rFonts w:ascii="Arial" w:hAnsi="Arial" w:cs="Arial"/>
          <w:b/>
          <w:bCs/>
          <w:sz w:val="22"/>
          <w:u w:val="single"/>
        </w:rPr>
      </w:pPr>
      <w:r w:rsidRPr="00B27245">
        <w:rPr>
          <w:rFonts w:ascii="Arial" w:hAnsi="Arial" w:cs="Arial"/>
          <w:b/>
          <w:bCs/>
          <w:sz w:val="22"/>
          <w:u w:val="single"/>
        </w:rPr>
        <w:t>Summary of in</w:t>
      </w:r>
      <w:r w:rsidR="008E4B8A" w:rsidRPr="00B27245">
        <w:rPr>
          <w:rFonts w:ascii="Arial" w:hAnsi="Arial" w:cs="Arial"/>
          <w:b/>
          <w:bCs/>
          <w:sz w:val="22"/>
          <w:u w:val="single"/>
        </w:rPr>
        <w:t>sights</w:t>
      </w:r>
    </w:p>
    <w:p w14:paraId="40A41683" w14:textId="77777777" w:rsidR="006E04C1" w:rsidRPr="006E04C1" w:rsidRDefault="006E04C1" w:rsidP="001B78F9">
      <w:pPr>
        <w:spacing w:after="0"/>
        <w:rPr>
          <w:rFonts w:ascii="Arial" w:hAnsi="Arial" w:cs="Arial"/>
          <w:sz w:val="22"/>
        </w:rPr>
      </w:pPr>
    </w:p>
    <w:p w14:paraId="33915D3E" w14:textId="77777777" w:rsidR="006E04C1" w:rsidRPr="006E04C1" w:rsidRDefault="006E04C1" w:rsidP="006E04C1">
      <w:pPr>
        <w:spacing w:after="0"/>
        <w:rPr>
          <w:rFonts w:ascii="Arial" w:hAnsi="Arial" w:cs="Arial"/>
          <w:sz w:val="22"/>
        </w:rPr>
      </w:pPr>
      <w:r w:rsidRPr="006E04C1">
        <w:rPr>
          <w:rFonts w:ascii="Arial" w:hAnsi="Arial" w:cs="Arial"/>
          <w:sz w:val="22"/>
        </w:rPr>
        <w:t>The CIPD welcomes the opportunity to respond to this consultation. While some of our members regard their organisation’s workplace pension as another cost of doing business, many others see them as a way of setting themselves out in the labour market, in terms of recruitment and retention. They also see workplace pensions as an important aspect of employee financial wellbeing. According to a survey carried out by the CIPD in 2022, 83% of said that being able to save for their future was important.</w:t>
      </w:r>
    </w:p>
    <w:p w14:paraId="283B25A7" w14:textId="77777777" w:rsidR="006E04C1" w:rsidRPr="006E04C1" w:rsidRDefault="006E04C1" w:rsidP="006E04C1">
      <w:pPr>
        <w:spacing w:after="0"/>
        <w:rPr>
          <w:rFonts w:ascii="Arial" w:hAnsi="Arial" w:cs="Arial"/>
          <w:sz w:val="22"/>
        </w:rPr>
      </w:pPr>
    </w:p>
    <w:p w14:paraId="6AB2EA4A" w14:textId="77777777" w:rsidR="006E04C1" w:rsidRPr="006E04C1" w:rsidRDefault="006E04C1" w:rsidP="006E04C1">
      <w:pPr>
        <w:spacing w:after="0"/>
        <w:rPr>
          <w:rFonts w:ascii="Arial" w:hAnsi="Arial" w:cs="Arial"/>
          <w:sz w:val="22"/>
        </w:rPr>
      </w:pPr>
      <w:r w:rsidRPr="006E04C1">
        <w:rPr>
          <w:rFonts w:ascii="Arial" w:hAnsi="Arial" w:cs="Arial"/>
          <w:sz w:val="22"/>
        </w:rPr>
        <w:t xml:space="preserve">However, while saving for the future is seen as important by many workers, their understanding of pensions is lacking. </w:t>
      </w:r>
      <w:hyperlink r:id="rId9" w:history="1">
        <w:r w:rsidRPr="006E04C1">
          <w:rPr>
            <w:rStyle w:val="Hyperlink"/>
            <w:rFonts w:ascii="Arial" w:hAnsi="Arial" w:cs="Arial"/>
            <w:sz w:val="22"/>
            <w:u w:val="none"/>
          </w:rPr>
          <w:t>CIPD research</w:t>
        </w:r>
      </w:hyperlink>
      <w:r w:rsidRPr="006E04C1">
        <w:rPr>
          <w:rFonts w:ascii="Arial" w:hAnsi="Arial" w:cs="Arial"/>
          <w:sz w:val="22"/>
        </w:rPr>
        <w:t xml:space="preserve"> finds that 17% of employees don’t know what type of workplace plan they are saving into, and 28% of those who know that they are members of a workplace defined contribution (DC) plan don’t know how much their employer is contributing.</w:t>
      </w:r>
    </w:p>
    <w:p w14:paraId="04617CDB" w14:textId="77777777" w:rsidR="006E04C1" w:rsidRPr="006E04C1" w:rsidRDefault="006E04C1" w:rsidP="006E04C1">
      <w:pPr>
        <w:spacing w:after="0"/>
        <w:rPr>
          <w:rFonts w:ascii="Arial" w:hAnsi="Arial" w:cs="Arial"/>
          <w:sz w:val="22"/>
        </w:rPr>
      </w:pPr>
    </w:p>
    <w:p w14:paraId="6CD2FFC2" w14:textId="77777777" w:rsidR="006E04C1" w:rsidRPr="006E04C1" w:rsidRDefault="006E04C1" w:rsidP="006E04C1">
      <w:pPr>
        <w:spacing w:after="0"/>
        <w:rPr>
          <w:rFonts w:ascii="Arial" w:hAnsi="Arial" w:cs="Arial"/>
          <w:sz w:val="22"/>
        </w:rPr>
      </w:pPr>
      <w:r w:rsidRPr="006E04C1">
        <w:rPr>
          <w:rFonts w:ascii="Arial" w:hAnsi="Arial" w:cs="Arial"/>
          <w:sz w:val="22"/>
        </w:rPr>
        <w:t>However, these finding probably reflect employer engagement with pensions. Other CIPD research finds that just 33% of private sector firms always include details of the workplace pension in their job adverts. Companies with 1,000 or more employees are no more likely (34%) to publish this information than those with between 2 and 250 employees (33%). By comparison, 59% of public sector organisations always publish this in their job adverts.</w:t>
      </w:r>
    </w:p>
    <w:p w14:paraId="4E49F8CB" w14:textId="77777777" w:rsidR="006E04C1" w:rsidRPr="006E04C1" w:rsidRDefault="006E04C1" w:rsidP="006E04C1">
      <w:pPr>
        <w:spacing w:after="0"/>
        <w:rPr>
          <w:rFonts w:ascii="Arial" w:hAnsi="Arial" w:cs="Arial"/>
          <w:sz w:val="22"/>
        </w:rPr>
      </w:pPr>
    </w:p>
    <w:p w14:paraId="75AA9E60" w14:textId="77777777" w:rsidR="006E04C1" w:rsidRDefault="006E04C1" w:rsidP="006E04C1">
      <w:pPr>
        <w:spacing w:after="0"/>
        <w:rPr>
          <w:rFonts w:ascii="Arial" w:hAnsi="Arial" w:cs="Arial"/>
          <w:sz w:val="22"/>
        </w:rPr>
      </w:pPr>
      <w:r w:rsidRPr="006E04C1">
        <w:rPr>
          <w:rFonts w:ascii="Arial" w:hAnsi="Arial" w:cs="Arial"/>
          <w:sz w:val="22"/>
        </w:rPr>
        <w:t>While the proposals contained in this consultation could help ensure good outcomes for pension savers, a quick and easy win would be to require organisations to include information about the pension plan when they advertise job vacancies, alongside salary information. This would help boost pension awareness and could help reduce the size of the pension gap. The CIPD mentions its DC pension plan in its job adverts.</w:t>
      </w:r>
    </w:p>
    <w:p w14:paraId="4333ADE7" w14:textId="77777777" w:rsidR="007A7C19" w:rsidRPr="006E04C1" w:rsidRDefault="007A7C19" w:rsidP="006E04C1">
      <w:pPr>
        <w:spacing w:after="0"/>
        <w:rPr>
          <w:rFonts w:ascii="Arial" w:hAnsi="Arial" w:cs="Arial"/>
          <w:sz w:val="22"/>
        </w:rPr>
      </w:pPr>
    </w:p>
    <w:p w14:paraId="2D8AAE1B" w14:textId="77777777" w:rsidR="006E04C1" w:rsidRPr="006E04C1" w:rsidRDefault="006E04C1" w:rsidP="006E04C1">
      <w:pPr>
        <w:spacing w:after="0"/>
        <w:rPr>
          <w:rFonts w:ascii="Arial" w:hAnsi="Arial" w:cs="Arial"/>
          <w:sz w:val="22"/>
        </w:rPr>
      </w:pPr>
      <w:r w:rsidRPr="006E04C1">
        <w:rPr>
          <w:rFonts w:ascii="Arial" w:hAnsi="Arial" w:cs="Arial"/>
          <w:sz w:val="22"/>
        </w:rPr>
        <w:t xml:space="preserve">However, if we want to boost the chances of workers being able to afford a reasonable lifestyle in retirement, then both employees and employers need to contribute more to workplace pensions. This is why we support both: the PLSA proposals to increase gradually the minimum amount of pension contributions from 8% to 12%; and the approach suggested in the report </w:t>
      </w:r>
      <w:hyperlink r:id="rId10" w:history="1">
        <w:r w:rsidRPr="006E04C1">
          <w:rPr>
            <w:rStyle w:val="Hyperlink"/>
            <w:rFonts w:ascii="Arial" w:hAnsi="Arial" w:cs="Arial"/>
            <w:i/>
            <w:sz w:val="22"/>
            <w:u w:val="none"/>
          </w:rPr>
          <w:t>Raising the Bar: A framework for increasing auto-enrolment contribution</w:t>
        </w:r>
      </w:hyperlink>
      <w:r w:rsidRPr="006E04C1">
        <w:rPr>
          <w:rFonts w:ascii="Arial" w:hAnsi="Arial" w:cs="Arial"/>
          <w:i/>
          <w:sz w:val="22"/>
        </w:rPr>
        <w:t xml:space="preserve">, </w:t>
      </w:r>
      <w:r w:rsidRPr="006E04C1">
        <w:rPr>
          <w:rFonts w:ascii="Arial" w:hAnsi="Arial" w:cs="Arial"/>
          <w:sz w:val="22"/>
        </w:rPr>
        <w:t>which set out the trigger points for increasing or pausing any uplift in pension contributions.</w:t>
      </w:r>
    </w:p>
    <w:p w14:paraId="1FC87C43" w14:textId="77777777" w:rsidR="006E04C1" w:rsidRPr="006E04C1" w:rsidRDefault="006E04C1" w:rsidP="006E04C1">
      <w:pPr>
        <w:spacing w:after="0"/>
        <w:rPr>
          <w:rFonts w:ascii="Arial" w:hAnsi="Arial" w:cs="Arial"/>
          <w:sz w:val="22"/>
        </w:rPr>
      </w:pPr>
    </w:p>
    <w:p w14:paraId="12AED1C1" w14:textId="1AC6C5E5" w:rsidR="003856FE" w:rsidRPr="006E04C1" w:rsidRDefault="006E04C1" w:rsidP="006E04C1">
      <w:pPr>
        <w:spacing w:after="0"/>
        <w:rPr>
          <w:rFonts w:ascii="Arial" w:hAnsi="Arial" w:cs="Arial"/>
          <w:sz w:val="22"/>
        </w:rPr>
      </w:pPr>
      <w:r w:rsidRPr="006E04C1">
        <w:rPr>
          <w:rFonts w:ascii="Arial" w:hAnsi="Arial" w:cs="Arial"/>
          <w:sz w:val="22"/>
        </w:rPr>
        <w:t xml:space="preserve">We also back the work being carried out by the Department for Work and Pensions, the Pensions Regulator, and the Financial Conduct Authority to create a </w:t>
      </w:r>
      <w:hyperlink r:id="rId11" w:history="1">
        <w:r w:rsidRPr="006E04C1">
          <w:rPr>
            <w:rStyle w:val="Hyperlink"/>
            <w:rFonts w:ascii="Arial" w:hAnsi="Arial" w:cs="Arial"/>
            <w:sz w:val="22"/>
            <w:u w:val="none"/>
          </w:rPr>
          <w:t>value-for-money framework.</w:t>
        </w:r>
      </w:hyperlink>
      <w:r w:rsidRPr="006E04C1">
        <w:rPr>
          <w:rFonts w:ascii="Arial" w:hAnsi="Arial" w:cs="Arial"/>
          <w:sz w:val="22"/>
        </w:rPr>
        <w:t xml:space="preserve"> This framework will help both employers and employees evaluate whether their pension plans are delivering decent outcomes.</w:t>
      </w:r>
    </w:p>
    <w:p w14:paraId="52A4A06E" w14:textId="77777777" w:rsidR="003856FE" w:rsidRPr="000516A7" w:rsidRDefault="003856FE" w:rsidP="003B125B">
      <w:pPr>
        <w:spacing w:after="0" w:line="240" w:lineRule="auto"/>
        <w:rPr>
          <w:rFonts w:ascii="Arial" w:hAnsi="Arial" w:cs="Arial"/>
          <w:b/>
          <w:bCs/>
          <w:sz w:val="22"/>
        </w:rPr>
      </w:pPr>
    </w:p>
    <w:p w14:paraId="1E6E18A7" w14:textId="77777777" w:rsidR="003856FE" w:rsidRPr="000516A7" w:rsidRDefault="003856FE" w:rsidP="003B125B">
      <w:pPr>
        <w:spacing w:after="0" w:line="240" w:lineRule="auto"/>
        <w:rPr>
          <w:rFonts w:ascii="Arial" w:hAnsi="Arial" w:cs="Arial"/>
          <w:b/>
          <w:bCs/>
          <w:sz w:val="22"/>
        </w:rPr>
      </w:pPr>
    </w:p>
    <w:p w14:paraId="29267D9A" w14:textId="77777777" w:rsidR="003856FE" w:rsidRPr="000516A7" w:rsidRDefault="003856FE" w:rsidP="003B125B">
      <w:pPr>
        <w:spacing w:after="0" w:line="240" w:lineRule="auto"/>
        <w:rPr>
          <w:rFonts w:ascii="Arial" w:hAnsi="Arial" w:cs="Arial"/>
          <w:b/>
          <w:bCs/>
          <w:sz w:val="22"/>
        </w:rPr>
      </w:pPr>
    </w:p>
    <w:p w14:paraId="460FFAEA" w14:textId="77777777" w:rsidR="003856FE" w:rsidRPr="000516A7" w:rsidRDefault="003856FE" w:rsidP="003B125B">
      <w:pPr>
        <w:spacing w:after="0" w:line="240" w:lineRule="auto"/>
        <w:rPr>
          <w:rFonts w:ascii="Arial" w:hAnsi="Arial" w:cs="Arial"/>
          <w:b/>
          <w:bCs/>
          <w:sz w:val="22"/>
        </w:rPr>
      </w:pPr>
    </w:p>
    <w:p w14:paraId="69D6A060" w14:textId="77777777" w:rsidR="003856FE" w:rsidRDefault="003856FE" w:rsidP="003B125B">
      <w:pPr>
        <w:spacing w:after="0" w:line="240" w:lineRule="auto"/>
        <w:rPr>
          <w:rFonts w:ascii="Arial" w:hAnsi="Arial" w:cs="Arial"/>
          <w:b/>
          <w:bCs/>
          <w:sz w:val="22"/>
        </w:rPr>
      </w:pPr>
    </w:p>
    <w:p w14:paraId="07D33FA4" w14:textId="77777777" w:rsidR="00665B02" w:rsidRDefault="00665B02" w:rsidP="003B125B">
      <w:pPr>
        <w:spacing w:after="0" w:line="240" w:lineRule="auto"/>
        <w:rPr>
          <w:rFonts w:ascii="Arial" w:hAnsi="Arial" w:cs="Arial"/>
          <w:b/>
          <w:bCs/>
          <w:sz w:val="22"/>
        </w:rPr>
      </w:pPr>
    </w:p>
    <w:p w14:paraId="19C5A0CE" w14:textId="77777777" w:rsidR="00665B02" w:rsidRDefault="00665B02" w:rsidP="003B125B">
      <w:pPr>
        <w:spacing w:after="0" w:line="240" w:lineRule="auto"/>
        <w:rPr>
          <w:rFonts w:ascii="Arial" w:hAnsi="Arial" w:cs="Arial"/>
          <w:b/>
          <w:bCs/>
          <w:sz w:val="22"/>
        </w:rPr>
      </w:pPr>
    </w:p>
    <w:p w14:paraId="788F6E71" w14:textId="77777777" w:rsidR="00665B02" w:rsidRDefault="00665B02" w:rsidP="003B125B">
      <w:pPr>
        <w:spacing w:after="0" w:line="240" w:lineRule="auto"/>
        <w:rPr>
          <w:rFonts w:ascii="Arial" w:hAnsi="Arial" w:cs="Arial"/>
          <w:b/>
          <w:bCs/>
          <w:sz w:val="22"/>
        </w:rPr>
      </w:pPr>
    </w:p>
    <w:p w14:paraId="0477A979" w14:textId="77777777" w:rsidR="00665B02" w:rsidRDefault="00665B02" w:rsidP="003B125B">
      <w:pPr>
        <w:spacing w:after="0" w:line="240" w:lineRule="auto"/>
        <w:rPr>
          <w:rFonts w:ascii="Arial" w:hAnsi="Arial" w:cs="Arial"/>
          <w:b/>
          <w:bCs/>
          <w:sz w:val="22"/>
        </w:rPr>
      </w:pPr>
    </w:p>
    <w:p w14:paraId="77713F78" w14:textId="77777777" w:rsidR="00665B02" w:rsidRDefault="00665B02" w:rsidP="003B125B">
      <w:pPr>
        <w:spacing w:after="0" w:line="240" w:lineRule="auto"/>
        <w:rPr>
          <w:rFonts w:ascii="Arial" w:hAnsi="Arial" w:cs="Arial"/>
          <w:b/>
          <w:bCs/>
          <w:sz w:val="22"/>
        </w:rPr>
      </w:pPr>
    </w:p>
    <w:p w14:paraId="73FC3FC4" w14:textId="77777777" w:rsidR="00665B02" w:rsidRDefault="00665B02" w:rsidP="003B125B">
      <w:pPr>
        <w:spacing w:after="0" w:line="240" w:lineRule="auto"/>
        <w:rPr>
          <w:rFonts w:ascii="Arial" w:hAnsi="Arial" w:cs="Arial"/>
          <w:b/>
          <w:bCs/>
          <w:sz w:val="22"/>
        </w:rPr>
      </w:pPr>
    </w:p>
    <w:p w14:paraId="0EF7CF4B" w14:textId="77777777" w:rsidR="00665B02" w:rsidRDefault="00665B02" w:rsidP="003B125B">
      <w:pPr>
        <w:spacing w:after="0" w:line="240" w:lineRule="auto"/>
        <w:rPr>
          <w:rFonts w:ascii="Arial" w:hAnsi="Arial" w:cs="Arial"/>
          <w:b/>
          <w:bCs/>
          <w:sz w:val="22"/>
        </w:rPr>
      </w:pPr>
    </w:p>
    <w:p w14:paraId="28A541F0" w14:textId="77777777" w:rsidR="00665B02" w:rsidRDefault="00665B02" w:rsidP="003B125B">
      <w:pPr>
        <w:spacing w:after="0" w:line="240" w:lineRule="auto"/>
        <w:rPr>
          <w:rFonts w:ascii="Arial" w:hAnsi="Arial" w:cs="Arial"/>
          <w:b/>
          <w:bCs/>
          <w:sz w:val="22"/>
        </w:rPr>
      </w:pPr>
    </w:p>
    <w:p w14:paraId="216AD84D" w14:textId="77777777" w:rsidR="00665B02" w:rsidRDefault="00665B02" w:rsidP="003B125B">
      <w:pPr>
        <w:spacing w:after="0" w:line="240" w:lineRule="auto"/>
        <w:rPr>
          <w:rFonts w:ascii="Arial" w:hAnsi="Arial" w:cs="Arial"/>
          <w:b/>
          <w:bCs/>
          <w:sz w:val="22"/>
        </w:rPr>
      </w:pPr>
    </w:p>
    <w:p w14:paraId="5219712A" w14:textId="2D567A50" w:rsidR="00665B02" w:rsidRDefault="00665B02" w:rsidP="003B125B">
      <w:pPr>
        <w:spacing w:after="0" w:line="240" w:lineRule="auto"/>
        <w:rPr>
          <w:rFonts w:ascii="Arial" w:hAnsi="Arial" w:cs="Arial"/>
          <w:b/>
          <w:bCs/>
          <w:sz w:val="22"/>
        </w:rPr>
      </w:pPr>
      <w:r>
        <w:rPr>
          <w:rFonts w:ascii="Arial" w:hAnsi="Arial" w:cs="Arial"/>
          <w:b/>
          <w:bCs/>
          <w:sz w:val="22"/>
        </w:rPr>
        <w:t xml:space="preserve">Questions </w:t>
      </w:r>
    </w:p>
    <w:p w14:paraId="14FD50A0" w14:textId="77777777" w:rsidR="00665B02" w:rsidRDefault="00665B02" w:rsidP="003B125B">
      <w:pPr>
        <w:spacing w:after="0" w:line="240" w:lineRule="auto"/>
        <w:rPr>
          <w:rFonts w:ascii="Arial" w:hAnsi="Arial" w:cs="Arial"/>
          <w:b/>
          <w:bCs/>
          <w:sz w:val="22"/>
        </w:rPr>
      </w:pPr>
    </w:p>
    <w:p w14:paraId="37730C4E" w14:textId="77777777" w:rsidR="00665B02" w:rsidRPr="00665B02" w:rsidRDefault="00665B02" w:rsidP="00665B02">
      <w:pPr>
        <w:spacing w:after="0" w:line="240" w:lineRule="auto"/>
        <w:rPr>
          <w:rFonts w:ascii="Arial" w:hAnsi="Arial" w:cs="Arial"/>
          <w:b/>
          <w:bCs/>
          <w:i/>
          <w:iCs/>
          <w:sz w:val="22"/>
        </w:rPr>
      </w:pPr>
      <w:r w:rsidRPr="00665B02">
        <w:rPr>
          <w:rFonts w:ascii="Arial" w:hAnsi="Arial" w:cs="Arial"/>
          <w:b/>
          <w:bCs/>
          <w:i/>
          <w:iCs/>
          <w:sz w:val="22"/>
        </w:rPr>
        <w:t xml:space="preserve">Question 1: What are the key considerations to </w:t>
      </w:r>
      <w:proofErr w:type="gramStart"/>
      <w:r w:rsidRPr="00665B02">
        <w:rPr>
          <w:rFonts w:ascii="Arial" w:hAnsi="Arial" w:cs="Arial"/>
          <w:b/>
          <w:bCs/>
          <w:i/>
          <w:iCs/>
          <w:sz w:val="22"/>
        </w:rPr>
        <w:t>take into account</w:t>
      </w:r>
      <w:proofErr w:type="gramEnd"/>
      <w:r w:rsidRPr="00665B02">
        <w:rPr>
          <w:rFonts w:ascii="Arial" w:hAnsi="Arial" w:cs="Arial"/>
          <w:b/>
          <w:bCs/>
          <w:i/>
          <w:iCs/>
          <w:sz w:val="22"/>
        </w:rPr>
        <w:t xml:space="preserve"> before deciding the process to implement a lifetime provider model and what elements would need to be in place?</w:t>
      </w:r>
    </w:p>
    <w:p w14:paraId="1A2C56B2" w14:textId="77777777" w:rsidR="00665B02" w:rsidRDefault="00665B02" w:rsidP="003B125B">
      <w:pPr>
        <w:spacing w:after="0" w:line="240" w:lineRule="auto"/>
        <w:rPr>
          <w:rFonts w:ascii="Arial" w:hAnsi="Arial" w:cs="Arial"/>
          <w:b/>
          <w:bCs/>
          <w:sz w:val="22"/>
        </w:rPr>
      </w:pPr>
    </w:p>
    <w:p w14:paraId="3FB69E43" w14:textId="77777777" w:rsidR="00F74439" w:rsidRPr="00F74439" w:rsidRDefault="00F74439" w:rsidP="00F74439">
      <w:pPr>
        <w:spacing w:after="0" w:line="240" w:lineRule="auto"/>
        <w:rPr>
          <w:rFonts w:ascii="Arial" w:hAnsi="Arial" w:cs="Arial"/>
          <w:sz w:val="22"/>
        </w:rPr>
      </w:pPr>
      <w:r w:rsidRPr="00F74439">
        <w:rPr>
          <w:rFonts w:ascii="Arial" w:hAnsi="Arial" w:cs="Arial"/>
          <w:sz w:val="22"/>
        </w:rPr>
        <w:t xml:space="preserve">The </w:t>
      </w:r>
      <w:r w:rsidRPr="00F74439">
        <w:rPr>
          <w:rFonts w:ascii="Arial" w:hAnsi="Arial" w:cs="Arial"/>
          <w:i/>
          <w:sz w:val="22"/>
        </w:rPr>
        <w:t>objectives</w:t>
      </w:r>
      <w:r w:rsidRPr="00F74439">
        <w:rPr>
          <w:rFonts w:ascii="Arial" w:hAnsi="Arial" w:cs="Arial"/>
          <w:sz w:val="22"/>
        </w:rPr>
        <w:t xml:space="preserve"> of the lifetime provider model (LPM) need to be set, which must involve employers, employee representatives, and pension providers. These parties also need to be involved in creating the mechanisms that will be used to </w:t>
      </w:r>
      <w:r w:rsidRPr="00F74439">
        <w:rPr>
          <w:rFonts w:ascii="Arial" w:hAnsi="Arial" w:cs="Arial"/>
          <w:i/>
          <w:sz w:val="22"/>
        </w:rPr>
        <w:t>assess</w:t>
      </w:r>
      <w:r w:rsidRPr="00F74439">
        <w:rPr>
          <w:rFonts w:ascii="Arial" w:hAnsi="Arial" w:cs="Arial"/>
          <w:sz w:val="22"/>
        </w:rPr>
        <w:t xml:space="preserve"> whether these objectives are being met.</w:t>
      </w:r>
    </w:p>
    <w:p w14:paraId="0BFF4D1E" w14:textId="77777777" w:rsidR="00F74439" w:rsidRPr="00F74439" w:rsidRDefault="00F74439" w:rsidP="00F74439">
      <w:pPr>
        <w:spacing w:after="0" w:line="240" w:lineRule="auto"/>
        <w:rPr>
          <w:rFonts w:ascii="Arial" w:hAnsi="Arial" w:cs="Arial"/>
          <w:sz w:val="22"/>
        </w:rPr>
      </w:pPr>
    </w:p>
    <w:p w14:paraId="5BE23EA3" w14:textId="77777777" w:rsidR="00F74439" w:rsidRPr="00F74439" w:rsidRDefault="00F74439" w:rsidP="00F74439">
      <w:pPr>
        <w:spacing w:after="0" w:line="240" w:lineRule="auto"/>
        <w:rPr>
          <w:rFonts w:ascii="Arial" w:hAnsi="Arial" w:cs="Arial"/>
          <w:sz w:val="22"/>
        </w:rPr>
      </w:pPr>
      <w:r w:rsidRPr="00F74439">
        <w:rPr>
          <w:rFonts w:ascii="Arial" w:hAnsi="Arial" w:cs="Arial"/>
          <w:sz w:val="22"/>
        </w:rPr>
        <w:t xml:space="preserve">An </w:t>
      </w:r>
      <w:r w:rsidRPr="00F74439">
        <w:rPr>
          <w:rFonts w:ascii="Arial" w:hAnsi="Arial" w:cs="Arial"/>
          <w:i/>
          <w:sz w:val="22"/>
        </w:rPr>
        <w:t>action plan</w:t>
      </w:r>
      <w:r w:rsidRPr="00F74439">
        <w:rPr>
          <w:rFonts w:ascii="Arial" w:hAnsi="Arial" w:cs="Arial"/>
          <w:sz w:val="22"/>
        </w:rPr>
        <w:t xml:space="preserve"> must be created in terms of who is responsible for what, and by when. For example: would all employees be able to select their pension provider on a given day; would the move to the LPM be linked to employer size, with the largest organisations offering the LPM first; or would the LPM initially apply to just those people who are either new to employment or are changing employers?</w:t>
      </w:r>
    </w:p>
    <w:p w14:paraId="713BC7A4" w14:textId="77777777" w:rsidR="00F74439" w:rsidRPr="00F74439" w:rsidRDefault="00F74439" w:rsidP="00F74439">
      <w:pPr>
        <w:spacing w:after="0" w:line="240" w:lineRule="auto"/>
        <w:rPr>
          <w:rFonts w:ascii="Arial" w:hAnsi="Arial" w:cs="Arial"/>
          <w:sz w:val="22"/>
        </w:rPr>
      </w:pPr>
    </w:p>
    <w:p w14:paraId="1189EC4D" w14:textId="77777777" w:rsidR="00F74439" w:rsidRPr="00F74439" w:rsidRDefault="00F74439" w:rsidP="00F74439">
      <w:pPr>
        <w:spacing w:after="0" w:line="240" w:lineRule="auto"/>
        <w:rPr>
          <w:rFonts w:ascii="Arial" w:hAnsi="Arial" w:cs="Arial"/>
          <w:sz w:val="22"/>
        </w:rPr>
      </w:pPr>
      <w:r w:rsidRPr="00F74439">
        <w:rPr>
          <w:rFonts w:ascii="Arial" w:hAnsi="Arial" w:cs="Arial"/>
          <w:i/>
          <w:sz w:val="22"/>
        </w:rPr>
        <w:t>A review</w:t>
      </w:r>
      <w:r w:rsidRPr="00F74439">
        <w:rPr>
          <w:rFonts w:ascii="Arial" w:hAnsi="Arial" w:cs="Arial"/>
          <w:sz w:val="22"/>
        </w:rPr>
        <w:t xml:space="preserve"> will need to be established to assess whether the changes have gone according to plan and what impact the move to the LPM is having in generating improved outcomes for employees, employers, and the economy.</w:t>
      </w:r>
    </w:p>
    <w:p w14:paraId="56EC5D2B" w14:textId="77777777" w:rsidR="00F74439" w:rsidRPr="00F74439" w:rsidRDefault="00F74439" w:rsidP="00F74439">
      <w:pPr>
        <w:spacing w:after="0" w:line="240" w:lineRule="auto"/>
        <w:rPr>
          <w:rFonts w:ascii="Arial" w:hAnsi="Arial" w:cs="Arial"/>
          <w:sz w:val="22"/>
        </w:rPr>
      </w:pPr>
    </w:p>
    <w:p w14:paraId="733B0DD3" w14:textId="77777777" w:rsidR="00F74439" w:rsidRPr="00F74439" w:rsidRDefault="00F74439" w:rsidP="00F74439">
      <w:pPr>
        <w:spacing w:after="0" w:line="240" w:lineRule="auto"/>
        <w:rPr>
          <w:rFonts w:ascii="Arial" w:hAnsi="Arial" w:cs="Arial"/>
          <w:sz w:val="22"/>
        </w:rPr>
      </w:pPr>
      <w:r w:rsidRPr="00F74439">
        <w:rPr>
          <w:rFonts w:ascii="Arial" w:hAnsi="Arial" w:cs="Arial"/>
          <w:sz w:val="22"/>
        </w:rPr>
        <w:t xml:space="preserve">Under the LPM, there will need to be a </w:t>
      </w:r>
      <w:r w:rsidRPr="00F74439">
        <w:rPr>
          <w:rFonts w:ascii="Arial" w:hAnsi="Arial" w:cs="Arial"/>
          <w:i/>
          <w:sz w:val="22"/>
        </w:rPr>
        <w:t>list of approved pension providers</w:t>
      </w:r>
      <w:r w:rsidRPr="00F74439">
        <w:rPr>
          <w:rFonts w:ascii="Arial" w:hAnsi="Arial" w:cs="Arial"/>
          <w:sz w:val="22"/>
        </w:rPr>
        <w:t>, so employers know that these suppliers are legitimate and provide the employer with value-for-money.</w:t>
      </w:r>
    </w:p>
    <w:p w14:paraId="4F726D7D" w14:textId="77777777" w:rsidR="00F74439" w:rsidRPr="00F74439" w:rsidRDefault="00F74439" w:rsidP="00F74439">
      <w:pPr>
        <w:spacing w:after="0" w:line="240" w:lineRule="auto"/>
        <w:rPr>
          <w:rFonts w:ascii="Arial" w:hAnsi="Arial" w:cs="Arial"/>
          <w:sz w:val="22"/>
        </w:rPr>
      </w:pPr>
    </w:p>
    <w:p w14:paraId="3B8E5F46" w14:textId="77777777" w:rsidR="00F74439" w:rsidRDefault="00F74439" w:rsidP="00F74439">
      <w:pPr>
        <w:spacing w:after="0" w:line="240" w:lineRule="auto"/>
        <w:rPr>
          <w:rFonts w:ascii="Arial" w:hAnsi="Arial" w:cs="Arial"/>
          <w:sz w:val="22"/>
        </w:rPr>
      </w:pPr>
      <w:r w:rsidRPr="00F74439">
        <w:rPr>
          <w:rFonts w:ascii="Arial" w:hAnsi="Arial" w:cs="Arial"/>
          <w:sz w:val="22"/>
        </w:rPr>
        <w:t xml:space="preserve">A decision must be made concerning the best way to provide pensions for those </w:t>
      </w:r>
      <w:r w:rsidRPr="00F74439">
        <w:rPr>
          <w:rFonts w:ascii="Arial" w:hAnsi="Arial" w:cs="Arial"/>
          <w:i/>
          <w:sz w:val="22"/>
        </w:rPr>
        <w:t>new to the workforce</w:t>
      </w:r>
      <w:r w:rsidRPr="00F74439">
        <w:rPr>
          <w:rFonts w:ascii="Arial" w:hAnsi="Arial" w:cs="Arial"/>
          <w:sz w:val="22"/>
        </w:rPr>
        <w:t xml:space="preserve"> and have little experience of pension savings, such as the employer arranging the pension plan for them.</w:t>
      </w:r>
    </w:p>
    <w:p w14:paraId="03B8AB8D" w14:textId="77777777" w:rsidR="007A7C19" w:rsidRPr="00F74439" w:rsidRDefault="007A7C19" w:rsidP="00F74439">
      <w:pPr>
        <w:spacing w:after="0" w:line="240" w:lineRule="auto"/>
        <w:rPr>
          <w:rFonts w:ascii="Arial" w:hAnsi="Arial" w:cs="Arial"/>
          <w:sz w:val="22"/>
        </w:rPr>
      </w:pPr>
    </w:p>
    <w:p w14:paraId="5FE9D193" w14:textId="77777777" w:rsidR="00F74439" w:rsidRPr="00F74439" w:rsidRDefault="00F74439" w:rsidP="00F74439">
      <w:pPr>
        <w:spacing w:after="0" w:line="240" w:lineRule="auto"/>
        <w:rPr>
          <w:rFonts w:ascii="Arial" w:hAnsi="Arial" w:cs="Arial"/>
          <w:sz w:val="22"/>
        </w:rPr>
      </w:pPr>
      <w:r w:rsidRPr="00F74439">
        <w:rPr>
          <w:rFonts w:ascii="Arial" w:hAnsi="Arial" w:cs="Arial"/>
          <w:i/>
          <w:sz w:val="22"/>
        </w:rPr>
        <w:t xml:space="preserve">Expectations </w:t>
      </w:r>
      <w:r w:rsidRPr="00F74439">
        <w:rPr>
          <w:rFonts w:ascii="Arial" w:hAnsi="Arial" w:cs="Arial"/>
          <w:i/>
          <w:iCs/>
          <w:sz w:val="22"/>
        </w:rPr>
        <w:t>must</w:t>
      </w:r>
      <w:r w:rsidRPr="00F74439">
        <w:rPr>
          <w:rFonts w:ascii="Arial" w:hAnsi="Arial" w:cs="Arial"/>
          <w:i/>
          <w:sz w:val="22"/>
        </w:rPr>
        <w:t xml:space="preserve"> be set</w:t>
      </w:r>
      <w:r w:rsidRPr="00F74439">
        <w:rPr>
          <w:rFonts w:ascii="Arial" w:hAnsi="Arial" w:cs="Arial"/>
          <w:sz w:val="22"/>
        </w:rPr>
        <w:t>, so that employees didn’t think they can ask their employers to contribute to a pension that they see as unaffordable. For example, an employee asking for their employer to contribute to a defined benefit pension scheme to which they once belonged.</w:t>
      </w:r>
    </w:p>
    <w:p w14:paraId="0367C658" w14:textId="77777777" w:rsidR="00F74439" w:rsidRPr="00F74439" w:rsidRDefault="00F74439" w:rsidP="00F74439">
      <w:pPr>
        <w:spacing w:after="0" w:line="240" w:lineRule="auto"/>
        <w:rPr>
          <w:rFonts w:ascii="Arial" w:hAnsi="Arial" w:cs="Arial"/>
          <w:sz w:val="22"/>
        </w:rPr>
      </w:pPr>
    </w:p>
    <w:p w14:paraId="2819E9BE" w14:textId="77777777" w:rsidR="00F74439" w:rsidRDefault="00F74439" w:rsidP="00F74439">
      <w:pPr>
        <w:spacing w:after="0" w:line="240" w:lineRule="auto"/>
        <w:rPr>
          <w:rFonts w:ascii="Arial" w:hAnsi="Arial" w:cs="Arial"/>
          <w:sz w:val="22"/>
        </w:rPr>
      </w:pPr>
      <w:r w:rsidRPr="00F74439">
        <w:rPr>
          <w:rFonts w:ascii="Arial" w:hAnsi="Arial" w:cs="Arial"/>
          <w:sz w:val="22"/>
        </w:rPr>
        <w:t xml:space="preserve">There would need to be a reasonably </w:t>
      </w:r>
      <w:r w:rsidRPr="00F74439">
        <w:rPr>
          <w:rFonts w:ascii="Arial" w:hAnsi="Arial" w:cs="Arial"/>
          <w:i/>
          <w:sz w:val="22"/>
        </w:rPr>
        <w:t>level playing field</w:t>
      </w:r>
      <w:r w:rsidRPr="00F74439">
        <w:rPr>
          <w:rFonts w:ascii="Arial" w:hAnsi="Arial" w:cs="Arial"/>
          <w:sz w:val="22"/>
        </w:rPr>
        <w:t xml:space="preserve"> in terms of employer pension contributions, say a minimum of 6%. The employer could then contribute more than this if it made sense in people or business terms.</w:t>
      </w:r>
    </w:p>
    <w:p w14:paraId="539426C9" w14:textId="77777777" w:rsidR="007A7C19" w:rsidRPr="00F74439" w:rsidRDefault="007A7C19" w:rsidP="00F74439">
      <w:pPr>
        <w:spacing w:after="0" w:line="240" w:lineRule="auto"/>
        <w:rPr>
          <w:rFonts w:ascii="Arial" w:hAnsi="Arial" w:cs="Arial"/>
          <w:sz w:val="22"/>
        </w:rPr>
      </w:pPr>
    </w:p>
    <w:p w14:paraId="0528E2BD" w14:textId="77777777" w:rsidR="00F74439" w:rsidRPr="00F74439" w:rsidRDefault="00F74439" w:rsidP="00F74439">
      <w:pPr>
        <w:spacing w:after="0" w:line="240" w:lineRule="auto"/>
        <w:rPr>
          <w:rFonts w:ascii="Arial" w:hAnsi="Arial" w:cs="Arial"/>
          <w:sz w:val="22"/>
        </w:rPr>
      </w:pPr>
      <w:r w:rsidRPr="00F74439">
        <w:rPr>
          <w:rFonts w:ascii="Arial" w:hAnsi="Arial" w:cs="Arial"/>
          <w:sz w:val="22"/>
        </w:rPr>
        <w:t xml:space="preserve">An </w:t>
      </w:r>
      <w:r w:rsidRPr="00F74439">
        <w:rPr>
          <w:rFonts w:ascii="Arial" w:hAnsi="Arial" w:cs="Arial"/>
          <w:i/>
          <w:sz w:val="22"/>
        </w:rPr>
        <w:t>education and communication campaign</w:t>
      </w:r>
      <w:r w:rsidRPr="00F74439">
        <w:rPr>
          <w:rFonts w:ascii="Arial" w:hAnsi="Arial" w:cs="Arial"/>
          <w:sz w:val="22"/>
        </w:rPr>
        <w:t xml:space="preserve"> must be created. One audience is HR, payroll, and finance professionals, who need to know what to do, how to do it, and by what deadline. Another is employees, so they know what they need to do, how, and by when.</w:t>
      </w:r>
    </w:p>
    <w:p w14:paraId="7DFE37FB" w14:textId="77777777" w:rsidR="00665B02" w:rsidRPr="00F74439" w:rsidRDefault="00665B02" w:rsidP="003B125B">
      <w:pPr>
        <w:spacing w:after="0" w:line="240" w:lineRule="auto"/>
        <w:rPr>
          <w:rFonts w:ascii="Arial" w:hAnsi="Arial" w:cs="Arial"/>
          <w:sz w:val="22"/>
        </w:rPr>
      </w:pPr>
    </w:p>
    <w:p w14:paraId="7138F4DE" w14:textId="77777777" w:rsidR="003856FE" w:rsidRPr="00F74439" w:rsidRDefault="003856FE" w:rsidP="003B125B">
      <w:pPr>
        <w:spacing w:after="0" w:line="240" w:lineRule="auto"/>
        <w:rPr>
          <w:rFonts w:ascii="Arial" w:hAnsi="Arial" w:cs="Arial"/>
          <w:sz w:val="22"/>
        </w:rPr>
      </w:pPr>
    </w:p>
    <w:p w14:paraId="2D2E99DD" w14:textId="77777777" w:rsidR="00AE312C" w:rsidRPr="00AE312C" w:rsidRDefault="00AE312C" w:rsidP="00AE312C">
      <w:pPr>
        <w:spacing w:after="0" w:line="240" w:lineRule="auto"/>
        <w:rPr>
          <w:rFonts w:ascii="Arial" w:hAnsi="Arial" w:cs="Arial"/>
          <w:b/>
          <w:bCs/>
          <w:i/>
          <w:iCs/>
          <w:sz w:val="22"/>
        </w:rPr>
      </w:pPr>
      <w:r w:rsidRPr="00AE312C">
        <w:rPr>
          <w:rFonts w:ascii="Arial" w:hAnsi="Arial" w:cs="Arial"/>
          <w:b/>
          <w:bCs/>
          <w:i/>
          <w:iCs/>
          <w:sz w:val="22"/>
        </w:rPr>
        <w:t xml:space="preserve">Question 3: What </w:t>
      </w:r>
      <w:proofErr w:type="gramStart"/>
      <w:r w:rsidRPr="00AE312C">
        <w:rPr>
          <w:rFonts w:ascii="Arial" w:hAnsi="Arial" w:cs="Arial"/>
          <w:b/>
          <w:bCs/>
          <w:i/>
          <w:iCs/>
          <w:sz w:val="22"/>
        </w:rPr>
        <w:t>are</w:t>
      </w:r>
      <w:proofErr w:type="gramEnd"/>
      <w:r w:rsidRPr="00AE312C">
        <w:rPr>
          <w:rFonts w:ascii="Arial" w:hAnsi="Arial" w:cs="Arial"/>
          <w:b/>
          <w:bCs/>
          <w:i/>
          <w:iCs/>
          <w:sz w:val="22"/>
        </w:rPr>
        <w:t xml:space="preserve"> the other consideration and building blocks that need to be in place before moving to a single lifetime provider, including any transitional arrangements?</w:t>
      </w:r>
    </w:p>
    <w:p w14:paraId="556316CA" w14:textId="77777777" w:rsidR="003856FE" w:rsidRDefault="003856FE" w:rsidP="003B125B">
      <w:pPr>
        <w:spacing w:after="0" w:line="240" w:lineRule="auto"/>
        <w:rPr>
          <w:rFonts w:ascii="Arial" w:hAnsi="Arial" w:cs="Arial"/>
          <w:b/>
          <w:bCs/>
          <w:sz w:val="22"/>
        </w:rPr>
      </w:pPr>
    </w:p>
    <w:p w14:paraId="2C906036" w14:textId="77777777" w:rsidR="00840B10" w:rsidRPr="00840B10" w:rsidRDefault="00840B10" w:rsidP="00840B10">
      <w:pPr>
        <w:spacing w:after="0" w:line="240" w:lineRule="auto"/>
        <w:rPr>
          <w:rFonts w:ascii="Arial" w:hAnsi="Arial" w:cs="Arial"/>
          <w:sz w:val="22"/>
        </w:rPr>
      </w:pPr>
      <w:r w:rsidRPr="00840B10">
        <w:rPr>
          <w:rFonts w:ascii="Arial" w:hAnsi="Arial" w:cs="Arial"/>
          <w:sz w:val="22"/>
        </w:rPr>
        <w:t>In addition to the considerations mentioned above, under the LPM a new payments mechanism must be created. Instead of the employer having to pay over its and its employees’ contributions to a multitude of pension providers, an industry-financed body should be established to take the pension contributions from employers. This new body would then match the contributions for each employee and pay them over to the appropriate pension provider.</w:t>
      </w:r>
    </w:p>
    <w:p w14:paraId="7E755308" w14:textId="77777777" w:rsidR="00840B10" w:rsidRPr="00840B10" w:rsidRDefault="00840B10" w:rsidP="00840B10">
      <w:pPr>
        <w:spacing w:after="0" w:line="240" w:lineRule="auto"/>
        <w:rPr>
          <w:rFonts w:ascii="Arial" w:hAnsi="Arial" w:cs="Arial"/>
          <w:sz w:val="22"/>
        </w:rPr>
      </w:pPr>
    </w:p>
    <w:p w14:paraId="39C7C565" w14:textId="77777777" w:rsidR="00840B10" w:rsidRPr="00840B10" w:rsidRDefault="00840B10" w:rsidP="00840B10">
      <w:pPr>
        <w:spacing w:after="0" w:line="240" w:lineRule="auto"/>
        <w:rPr>
          <w:rFonts w:ascii="Arial" w:hAnsi="Arial" w:cs="Arial"/>
          <w:sz w:val="22"/>
        </w:rPr>
      </w:pPr>
      <w:r w:rsidRPr="00840B10">
        <w:rPr>
          <w:rFonts w:ascii="Arial" w:hAnsi="Arial" w:cs="Arial"/>
          <w:sz w:val="22"/>
        </w:rPr>
        <w:t xml:space="preserve">The CIPD’s </w:t>
      </w:r>
      <w:r w:rsidRPr="00840B10">
        <w:rPr>
          <w:rFonts w:ascii="Arial" w:hAnsi="Arial" w:cs="Arial"/>
          <w:i/>
          <w:sz w:val="22"/>
        </w:rPr>
        <w:t>Labour Market Outlook</w:t>
      </w:r>
      <w:r w:rsidRPr="00840B10">
        <w:rPr>
          <w:rFonts w:ascii="Arial" w:hAnsi="Arial" w:cs="Arial"/>
          <w:sz w:val="22"/>
        </w:rPr>
        <w:t>, Winter 2024 survey (carried out between the 3 January 2024 and the 23 January 2024) asked 2,000 employers what impact the shift to the LPM will have on the administrative costs associated with providing a workplace pension. If you are interested in the findings, we can send you the results.</w:t>
      </w:r>
    </w:p>
    <w:p w14:paraId="606FF312" w14:textId="77777777" w:rsidR="00840B10" w:rsidRPr="00840B10" w:rsidRDefault="00840B10" w:rsidP="00840B10">
      <w:pPr>
        <w:spacing w:after="0" w:line="240" w:lineRule="auto"/>
        <w:rPr>
          <w:rFonts w:ascii="Arial" w:hAnsi="Arial" w:cs="Arial"/>
          <w:sz w:val="22"/>
        </w:rPr>
      </w:pPr>
    </w:p>
    <w:p w14:paraId="3FEC7BFF" w14:textId="77777777" w:rsidR="00840B10" w:rsidRPr="00840B10" w:rsidRDefault="00840B10" w:rsidP="00840B10">
      <w:pPr>
        <w:spacing w:after="0" w:line="240" w:lineRule="auto"/>
        <w:rPr>
          <w:rFonts w:ascii="Arial" w:hAnsi="Arial" w:cs="Arial"/>
          <w:sz w:val="22"/>
        </w:rPr>
      </w:pPr>
      <w:r w:rsidRPr="00840B10">
        <w:rPr>
          <w:rFonts w:ascii="Arial" w:hAnsi="Arial" w:cs="Arial"/>
          <w:sz w:val="22"/>
        </w:rPr>
        <w:t>We also asked to what extent would the creation of a payments body would have on administration costs of the LPM compared with the scenario where employers had to pay over the relevant contributions to the various pension providers selected by their employees. If you are interested in the responses to these questions, we can send you the results.</w:t>
      </w:r>
    </w:p>
    <w:p w14:paraId="46AA4421" w14:textId="77777777" w:rsidR="00840B10" w:rsidRPr="00840B10" w:rsidRDefault="00840B10" w:rsidP="00840B10">
      <w:pPr>
        <w:spacing w:after="0" w:line="240" w:lineRule="auto"/>
        <w:rPr>
          <w:rFonts w:ascii="Arial" w:hAnsi="Arial" w:cs="Arial"/>
          <w:sz w:val="22"/>
        </w:rPr>
      </w:pPr>
    </w:p>
    <w:p w14:paraId="6E5DCA56" w14:textId="77777777" w:rsidR="00840B10" w:rsidRPr="00840B10" w:rsidRDefault="00840B10" w:rsidP="00840B10">
      <w:pPr>
        <w:spacing w:after="0" w:line="240" w:lineRule="auto"/>
        <w:rPr>
          <w:rFonts w:ascii="Arial" w:hAnsi="Arial" w:cs="Arial"/>
          <w:sz w:val="22"/>
        </w:rPr>
      </w:pPr>
      <w:r w:rsidRPr="00840B10">
        <w:rPr>
          <w:rFonts w:ascii="Arial" w:hAnsi="Arial" w:cs="Arial"/>
          <w:sz w:val="22"/>
        </w:rPr>
        <w:t>In our survey we explored whether just allowing those employees that have changed jobs the option to select their own pension provider would help cut the administrative costs of the LPM idea. We can send these findings to you as well, should you be interested.</w:t>
      </w:r>
    </w:p>
    <w:p w14:paraId="7D385452" w14:textId="77777777" w:rsidR="00840B10" w:rsidRPr="00840B10" w:rsidRDefault="00840B10" w:rsidP="00840B10">
      <w:pPr>
        <w:spacing w:after="0" w:line="240" w:lineRule="auto"/>
        <w:rPr>
          <w:rFonts w:ascii="Arial" w:hAnsi="Arial" w:cs="Arial"/>
          <w:sz w:val="22"/>
        </w:rPr>
      </w:pPr>
    </w:p>
    <w:p w14:paraId="1F284A3E" w14:textId="77777777" w:rsidR="00840B10" w:rsidRPr="00840B10" w:rsidRDefault="00840B10" w:rsidP="00840B10">
      <w:pPr>
        <w:spacing w:after="0" w:line="240" w:lineRule="auto"/>
        <w:rPr>
          <w:rFonts w:ascii="Arial" w:hAnsi="Arial" w:cs="Arial"/>
          <w:sz w:val="22"/>
        </w:rPr>
      </w:pPr>
      <w:r w:rsidRPr="00840B10">
        <w:rPr>
          <w:rFonts w:ascii="Arial" w:hAnsi="Arial" w:cs="Arial"/>
          <w:sz w:val="22"/>
        </w:rPr>
        <w:t>Other considerations that need to be resolved before moving to a LPM are:</w:t>
      </w:r>
    </w:p>
    <w:p w14:paraId="67B4EFE2" w14:textId="77777777" w:rsidR="00840B10" w:rsidRPr="00840B10" w:rsidRDefault="00840B10" w:rsidP="00840B10">
      <w:pPr>
        <w:numPr>
          <w:ilvl w:val="0"/>
          <w:numId w:val="4"/>
        </w:numPr>
        <w:spacing w:after="0" w:line="240" w:lineRule="auto"/>
        <w:rPr>
          <w:rFonts w:ascii="Arial" w:hAnsi="Arial" w:cs="Arial"/>
          <w:sz w:val="22"/>
        </w:rPr>
      </w:pPr>
      <w:r w:rsidRPr="00840B10">
        <w:rPr>
          <w:rFonts w:ascii="Arial" w:hAnsi="Arial" w:cs="Arial"/>
          <w:sz w:val="22"/>
        </w:rPr>
        <w:t>making sure that contribution transfer systems are in place for those people, typically part-time, who have several employers at the same time; and</w:t>
      </w:r>
    </w:p>
    <w:p w14:paraId="23639642" w14:textId="77777777" w:rsidR="00840B10" w:rsidRPr="00840B10" w:rsidRDefault="00840B10" w:rsidP="00840B10">
      <w:pPr>
        <w:numPr>
          <w:ilvl w:val="0"/>
          <w:numId w:val="4"/>
        </w:numPr>
        <w:spacing w:after="0" w:line="240" w:lineRule="auto"/>
        <w:rPr>
          <w:rFonts w:ascii="Arial" w:hAnsi="Arial" w:cs="Arial"/>
          <w:sz w:val="22"/>
        </w:rPr>
      </w:pPr>
      <w:r w:rsidRPr="00840B10">
        <w:rPr>
          <w:rFonts w:ascii="Arial" w:hAnsi="Arial" w:cs="Arial"/>
          <w:sz w:val="22"/>
        </w:rPr>
        <w:t>how to deal with employees who change employment frequently, such as seasonal workers.</w:t>
      </w:r>
    </w:p>
    <w:p w14:paraId="57C8F620" w14:textId="77777777" w:rsidR="00AE312C" w:rsidRPr="000516A7" w:rsidRDefault="00AE312C" w:rsidP="003B125B">
      <w:pPr>
        <w:spacing w:after="0" w:line="240" w:lineRule="auto"/>
        <w:rPr>
          <w:rFonts w:ascii="Arial" w:hAnsi="Arial" w:cs="Arial"/>
          <w:b/>
          <w:bCs/>
          <w:sz w:val="22"/>
        </w:rPr>
      </w:pPr>
    </w:p>
    <w:p w14:paraId="7C5B45C3" w14:textId="77777777" w:rsidR="003856FE" w:rsidRPr="000516A7" w:rsidRDefault="003856FE" w:rsidP="003B125B">
      <w:pPr>
        <w:spacing w:after="0" w:line="240" w:lineRule="auto"/>
        <w:rPr>
          <w:rFonts w:ascii="Arial" w:hAnsi="Arial" w:cs="Arial"/>
          <w:b/>
          <w:bCs/>
          <w:sz w:val="22"/>
        </w:rPr>
      </w:pPr>
    </w:p>
    <w:p w14:paraId="3E7148E2" w14:textId="77777777" w:rsidR="006F4B9C" w:rsidRPr="006F4B9C" w:rsidRDefault="006F4B9C" w:rsidP="006F4B9C">
      <w:pPr>
        <w:spacing w:after="0" w:line="240" w:lineRule="auto"/>
        <w:rPr>
          <w:rFonts w:ascii="Arial" w:hAnsi="Arial" w:cs="Arial"/>
          <w:b/>
          <w:bCs/>
          <w:i/>
          <w:iCs/>
          <w:sz w:val="22"/>
        </w:rPr>
      </w:pPr>
      <w:r w:rsidRPr="006F4B9C">
        <w:rPr>
          <w:rFonts w:ascii="Arial" w:hAnsi="Arial" w:cs="Arial"/>
          <w:b/>
          <w:bCs/>
          <w:i/>
          <w:iCs/>
          <w:sz w:val="22"/>
        </w:rPr>
        <w:t>Question 4: What are the advantages and disadvantages of moving to a member-led lifetime provider model prior to considering introducing a default lifetime provider model?</w:t>
      </w:r>
    </w:p>
    <w:p w14:paraId="771F2C9B" w14:textId="77777777" w:rsidR="00B27245" w:rsidRPr="00A857F9" w:rsidRDefault="00B27245" w:rsidP="003B125B">
      <w:pPr>
        <w:spacing w:after="0" w:line="240" w:lineRule="auto"/>
        <w:rPr>
          <w:rFonts w:ascii="Arial" w:hAnsi="Arial" w:cs="Arial"/>
          <w:sz w:val="22"/>
        </w:rPr>
      </w:pPr>
    </w:p>
    <w:p w14:paraId="23D37E61" w14:textId="77777777" w:rsidR="00A857F9" w:rsidRPr="00A857F9" w:rsidRDefault="00A857F9" w:rsidP="00A857F9">
      <w:pPr>
        <w:spacing w:after="0" w:line="240" w:lineRule="auto"/>
        <w:rPr>
          <w:rFonts w:ascii="Arial" w:hAnsi="Arial" w:cs="Arial"/>
          <w:sz w:val="22"/>
        </w:rPr>
      </w:pPr>
      <w:r w:rsidRPr="00A857F9">
        <w:rPr>
          <w:rFonts w:ascii="Arial" w:hAnsi="Arial" w:cs="Arial"/>
          <w:sz w:val="22"/>
        </w:rPr>
        <w:t xml:space="preserve">One disadvantage of the LPM is that employers may disengage with workplace pensions. To explore investigate this, our survey has employers if they would be less likely to offer a workplace pension scheme under the proposed LPM regime. In addition, we have also asked whether employers would also be less interested in the pension awareness of their people. Again, we would be happy to share these results with you to help inform your response. </w:t>
      </w:r>
    </w:p>
    <w:p w14:paraId="5FAA69B5" w14:textId="77777777" w:rsidR="00A857F9" w:rsidRPr="00A857F9" w:rsidRDefault="00A857F9" w:rsidP="00A857F9">
      <w:pPr>
        <w:spacing w:after="0" w:line="240" w:lineRule="auto"/>
        <w:rPr>
          <w:rFonts w:ascii="Arial" w:hAnsi="Arial" w:cs="Arial"/>
          <w:sz w:val="22"/>
        </w:rPr>
      </w:pPr>
    </w:p>
    <w:p w14:paraId="03A40783" w14:textId="77777777" w:rsidR="00A857F9" w:rsidRPr="00A857F9" w:rsidRDefault="00A857F9" w:rsidP="00A857F9">
      <w:pPr>
        <w:spacing w:after="0" w:line="240" w:lineRule="auto"/>
        <w:rPr>
          <w:rFonts w:ascii="Arial" w:hAnsi="Arial" w:cs="Arial"/>
          <w:sz w:val="22"/>
        </w:rPr>
      </w:pPr>
      <w:r w:rsidRPr="00A857F9">
        <w:rPr>
          <w:rFonts w:ascii="Arial" w:hAnsi="Arial" w:cs="Arial"/>
          <w:sz w:val="22"/>
        </w:rPr>
        <w:t xml:space="preserve">Our survey also inquired about the potential administrative complexity of having to pay over money to different pension providers, unless a more straightforward solution was found. </w:t>
      </w:r>
    </w:p>
    <w:p w14:paraId="34EF8761" w14:textId="77777777" w:rsidR="00B27245" w:rsidRDefault="00B27245" w:rsidP="003B125B">
      <w:pPr>
        <w:spacing w:after="0" w:line="240" w:lineRule="auto"/>
        <w:rPr>
          <w:rFonts w:ascii="Arial" w:hAnsi="Arial" w:cs="Arial"/>
          <w:b/>
          <w:bCs/>
          <w:sz w:val="22"/>
        </w:rPr>
      </w:pPr>
    </w:p>
    <w:p w14:paraId="240341ED" w14:textId="77777777" w:rsidR="009A3635" w:rsidRPr="009A3635" w:rsidRDefault="009A3635" w:rsidP="009A3635">
      <w:pPr>
        <w:rPr>
          <w:rFonts w:ascii="Arial" w:hAnsi="Arial" w:cs="Arial"/>
          <w:b/>
          <w:bCs/>
          <w:i/>
          <w:iCs/>
          <w:sz w:val="22"/>
        </w:rPr>
      </w:pPr>
      <w:r w:rsidRPr="009A3635">
        <w:rPr>
          <w:rFonts w:ascii="Arial" w:hAnsi="Arial" w:cs="Arial"/>
          <w:b/>
          <w:bCs/>
          <w:i/>
          <w:iCs/>
          <w:sz w:val="22"/>
        </w:rPr>
        <w:t>Question 5: What is the right timing and sequencing of these potential changes? Which part would best be implemented first and why, or should any be implemented concurrently?</w:t>
      </w:r>
    </w:p>
    <w:p w14:paraId="07DF5E49" w14:textId="77777777" w:rsidR="00C2118D" w:rsidRPr="00C2118D" w:rsidRDefault="00C2118D" w:rsidP="00C2118D">
      <w:pPr>
        <w:rPr>
          <w:rFonts w:ascii="Arial" w:hAnsi="Arial" w:cs="Arial"/>
          <w:sz w:val="22"/>
        </w:rPr>
      </w:pPr>
      <w:r w:rsidRPr="00C2118D">
        <w:rPr>
          <w:rFonts w:ascii="Arial" w:hAnsi="Arial" w:cs="Arial"/>
          <w:sz w:val="22"/>
        </w:rPr>
        <w:t xml:space="preserve">The timing depends on the objectives. For example, if the aim is to minimise workplace disruption, then we should follow a timetable </w:t>
      </w:r>
      <w:proofErr w:type="gramStart"/>
      <w:r w:rsidRPr="00C2118D">
        <w:rPr>
          <w:rFonts w:ascii="Arial" w:hAnsi="Arial" w:cs="Arial"/>
          <w:sz w:val="22"/>
        </w:rPr>
        <w:t>similar to</w:t>
      </w:r>
      <w:proofErr w:type="gramEnd"/>
      <w:r w:rsidRPr="00C2118D">
        <w:rPr>
          <w:rFonts w:ascii="Arial" w:hAnsi="Arial" w:cs="Arial"/>
          <w:sz w:val="22"/>
        </w:rPr>
        <w:t xml:space="preserve"> the one used for the introduction of automatic enrolment, starting with the largest employers first and gradually covering medium and smaller employers. Or we could select a period, such as September 2026, and say that all employees who change jobs from that month onwards will be able to select a previous pension provider.</w:t>
      </w:r>
    </w:p>
    <w:p w14:paraId="1F30CDF8" w14:textId="77777777" w:rsidR="00C2118D" w:rsidRPr="00C2118D" w:rsidRDefault="00C2118D" w:rsidP="00C2118D">
      <w:pPr>
        <w:rPr>
          <w:rFonts w:ascii="Arial" w:hAnsi="Arial" w:cs="Arial"/>
          <w:i/>
          <w:sz w:val="22"/>
        </w:rPr>
      </w:pPr>
      <w:r w:rsidRPr="00C2118D">
        <w:rPr>
          <w:rFonts w:ascii="Arial" w:hAnsi="Arial" w:cs="Arial"/>
          <w:sz w:val="22"/>
        </w:rPr>
        <w:t xml:space="preserve">However, nothing can start </w:t>
      </w:r>
      <w:proofErr w:type="gramStart"/>
      <w:r w:rsidRPr="00C2118D">
        <w:rPr>
          <w:rFonts w:ascii="Arial" w:hAnsi="Arial" w:cs="Arial"/>
          <w:sz w:val="22"/>
        </w:rPr>
        <w:t>until:</w:t>
      </w:r>
      <w:proofErr w:type="gramEnd"/>
      <w:r w:rsidRPr="00C2118D">
        <w:rPr>
          <w:rFonts w:ascii="Arial" w:hAnsi="Arial" w:cs="Arial"/>
          <w:sz w:val="22"/>
        </w:rPr>
        <w:t xml:space="preserve"> the systems are in place to help employers pay over </w:t>
      </w:r>
      <w:proofErr w:type="spellStart"/>
      <w:r w:rsidRPr="00C2118D">
        <w:rPr>
          <w:rFonts w:ascii="Arial" w:hAnsi="Arial" w:cs="Arial"/>
          <w:sz w:val="22"/>
        </w:rPr>
        <w:t>their</w:t>
      </w:r>
      <w:proofErr w:type="spellEnd"/>
      <w:r w:rsidRPr="00C2118D">
        <w:rPr>
          <w:rFonts w:ascii="Arial" w:hAnsi="Arial" w:cs="Arial"/>
          <w:sz w:val="22"/>
        </w:rPr>
        <w:t xml:space="preserve"> and their employees’ pension contributions; processes are in place to deal with those who change jobs frequently or have more than one employer; and a communication/education campaign for employers and employees has been created.</w:t>
      </w:r>
    </w:p>
    <w:p w14:paraId="170ED7F7" w14:textId="00203989" w:rsidR="003A444A" w:rsidRPr="000516A7" w:rsidRDefault="003A444A">
      <w:pPr>
        <w:rPr>
          <w:rFonts w:ascii="Arial" w:hAnsi="Arial" w:cs="Arial"/>
          <w:b/>
          <w:bCs/>
          <w:sz w:val="22"/>
        </w:rPr>
      </w:pPr>
    </w:p>
    <w:p w14:paraId="183E0B1F" w14:textId="3D3E30B7" w:rsidR="003E78A2" w:rsidRPr="000516A7" w:rsidRDefault="003E78A2">
      <w:pPr>
        <w:rPr>
          <w:rFonts w:ascii="Arial" w:hAnsi="Arial" w:cs="Arial"/>
          <w:b/>
          <w:bCs/>
          <w:sz w:val="22"/>
        </w:rPr>
      </w:pPr>
    </w:p>
    <w:p w14:paraId="7D8DEC82" w14:textId="15DFB8CC" w:rsidR="004E0A31" w:rsidRPr="000516A7" w:rsidRDefault="004E0A31">
      <w:pPr>
        <w:rPr>
          <w:rFonts w:ascii="Arial" w:hAnsi="Arial" w:cs="Arial"/>
          <w:b/>
          <w:bCs/>
          <w:sz w:val="22"/>
        </w:rPr>
      </w:pPr>
    </w:p>
    <w:p w14:paraId="31A44608" w14:textId="42C11531" w:rsidR="004E0A31" w:rsidRPr="000516A7" w:rsidRDefault="004E0A31">
      <w:pPr>
        <w:rPr>
          <w:rFonts w:ascii="Arial" w:hAnsi="Arial" w:cs="Arial"/>
          <w:b/>
          <w:bCs/>
          <w:sz w:val="22"/>
        </w:rPr>
      </w:pPr>
    </w:p>
    <w:p w14:paraId="7DA4065C" w14:textId="0456E3A7" w:rsidR="004E0A31" w:rsidRPr="000516A7" w:rsidRDefault="004E0A31">
      <w:pPr>
        <w:rPr>
          <w:rFonts w:ascii="Arial" w:hAnsi="Arial" w:cs="Arial"/>
          <w:b/>
          <w:bCs/>
          <w:sz w:val="22"/>
        </w:rPr>
      </w:pPr>
    </w:p>
    <w:sectPr w:rsidR="004E0A31" w:rsidRPr="00051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5630" w14:textId="77777777" w:rsidR="007F20D1" w:rsidRDefault="007F20D1" w:rsidP="00D10DBF">
      <w:pPr>
        <w:spacing w:after="0" w:line="240" w:lineRule="auto"/>
      </w:pPr>
      <w:r>
        <w:separator/>
      </w:r>
    </w:p>
  </w:endnote>
  <w:endnote w:type="continuationSeparator" w:id="0">
    <w:p w14:paraId="7B2BEBDD" w14:textId="77777777" w:rsidR="007F20D1" w:rsidRDefault="007F20D1" w:rsidP="00D10DBF">
      <w:pPr>
        <w:spacing w:after="0" w:line="240" w:lineRule="auto"/>
      </w:pPr>
      <w:r>
        <w:continuationSeparator/>
      </w:r>
    </w:p>
  </w:endnote>
  <w:endnote w:type="continuationNotice" w:id="1">
    <w:p w14:paraId="4A71749B" w14:textId="77777777" w:rsidR="007F20D1" w:rsidRDefault="007F2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2700" w14:textId="77777777" w:rsidR="007F20D1" w:rsidRDefault="007F20D1" w:rsidP="00D10DBF">
      <w:pPr>
        <w:spacing w:after="0" w:line="240" w:lineRule="auto"/>
      </w:pPr>
      <w:r>
        <w:separator/>
      </w:r>
    </w:p>
  </w:footnote>
  <w:footnote w:type="continuationSeparator" w:id="0">
    <w:p w14:paraId="0D8A3530" w14:textId="77777777" w:rsidR="007F20D1" w:rsidRDefault="007F20D1" w:rsidP="00D10DBF">
      <w:pPr>
        <w:spacing w:after="0" w:line="240" w:lineRule="auto"/>
      </w:pPr>
      <w:r>
        <w:continuationSeparator/>
      </w:r>
    </w:p>
  </w:footnote>
  <w:footnote w:type="continuationNotice" w:id="1">
    <w:p w14:paraId="1D6476F9" w14:textId="77777777" w:rsidR="007F20D1" w:rsidRDefault="007F20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20BB"/>
    <w:multiLevelType w:val="hybridMultilevel"/>
    <w:tmpl w:val="D34E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404FF"/>
    <w:multiLevelType w:val="hybridMultilevel"/>
    <w:tmpl w:val="C3423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80298C"/>
    <w:multiLevelType w:val="hybridMultilevel"/>
    <w:tmpl w:val="4CCC823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7341608A"/>
    <w:multiLevelType w:val="hybridMultilevel"/>
    <w:tmpl w:val="A898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94446">
    <w:abstractNumId w:val="1"/>
  </w:num>
  <w:num w:numId="2" w16cid:durableId="1002317345">
    <w:abstractNumId w:val="3"/>
  </w:num>
  <w:num w:numId="3" w16cid:durableId="128939436">
    <w:abstractNumId w:val="0"/>
  </w:num>
  <w:num w:numId="4" w16cid:durableId="534731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50"/>
    <w:rsid w:val="00000E69"/>
    <w:rsid w:val="0000152D"/>
    <w:rsid w:val="00002A5D"/>
    <w:rsid w:val="00005E47"/>
    <w:rsid w:val="00006F92"/>
    <w:rsid w:val="00026F9A"/>
    <w:rsid w:val="000453C4"/>
    <w:rsid w:val="000505A4"/>
    <w:rsid w:val="000516A7"/>
    <w:rsid w:val="00054BCD"/>
    <w:rsid w:val="0007083F"/>
    <w:rsid w:val="000708E4"/>
    <w:rsid w:val="00080080"/>
    <w:rsid w:val="000921FB"/>
    <w:rsid w:val="000A3070"/>
    <w:rsid w:val="000D1171"/>
    <w:rsid w:val="000D1E7E"/>
    <w:rsid w:val="000D7FB6"/>
    <w:rsid w:val="000E0280"/>
    <w:rsid w:val="000F55BF"/>
    <w:rsid w:val="00102C20"/>
    <w:rsid w:val="00105E55"/>
    <w:rsid w:val="001245DC"/>
    <w:rsid w:val="0013382F"/>
    <w:rsid w:val="00140B43"/>
    <w:rsid w:val="00156AA6"/>
    <w:rsid w:val="0016000F"/>
    <w:rsid w:val="001B19C4"/>
    <w:rsid w:val="001B78F9"/>
    <w:rsid w:val="001D5C2C"/>
    <w:rsid w:val="001D6039"/>
    <w:rsid w:val="001D734F"/>
    <w:rsid w:val="001E4FB8"/>
    <w:rsid w:val="001F48F4"/>
    <w:rsid w:val="001F6D09"/>
    <w:rsid w:val="00232316"/>
    <w:rsid w:val="002348BD"/>
    <w:rsid w:val="0024142E"/>
    <w:rsid w:val="00247DAC"/>
    <w:rsid w:val="00256D33"/>
    <w:rsid w:val="00257678"/>
    <w:rsid w:val="00264E42"/>
    <w:rsid w:val="00273EFB"/>
    <w:rsid w:val="002837D9"/>
    <w:rsid w:val="00284023"/>
    <w:rsid w:val="00297449"/>
    <w:rsid w:val="002B4DB1"/>
    <w:rsid w:val="002B5EA0"/>
    <w:rsid w:val="002D3116"/>
    <w:rsid w:val="002D687C"/>
    <w:rsid w:val="002E469A"/>
    <w:rsid w:val="002F3608"/>
    <w:rsid w:val="00305AAD"/>
    <w:rsid w:val="00315D60"/>
    <w:rsid w:val="00344C42"/>
    <w:rsid w:val="00351FE6"/>
    <w:rsid w:val="003548A9"/>
    <w:rsid w:val="003643B1"/>
    <w:rsid w:val="00364B36"/>
    <w:rsid w:val="00366C25"/>
    <w:rsid w:val="003732C2"/>
    <w:rsid w:val="003758E7"/>
    <w:rsid w:val="00382E5C"/>
    <w:rsid w:val="003856FE"/>
    <w:rsid w:val="003960D8"/>
    <w:rsid w:val="00396207"/>
    <w:rsid w:val="003A444A"/>
    <w:rsid w:val="003B125B"/>
    <w:rsid w:val="003B468D"/>
    <w:rsid w:val="003C0644"/>
    <w:rsid w:val="003C3CCD"/>
    <w:rsid w:val="003E4E3B"/>
    <w:rsid w:val="003E78A2"/>
    <w:rsid w:val="00405FC7"/>
    <w:rsid w:val="00406B8B"/>
    <w:rsid w:val="00406E72"/>
    <w:rsid w:val="00407B78"/>
    <w:rsid w:val="00407D5D"/>
    <w:rsid w:val="00426FD0"/>
    <w:rsid w:val="004319EE"/>
    <w:rsid w:val="00432053"/>
    <w:rsid w:val="00440A7D"/>
    <w:rsid w:val="00443215"/>
    <w:rsid w:val="00453BCC"/>
    <w:rsid w:val="00467E2C"/>
    <w:rsid w:val="00477C54"/>
    <w:rsid w:val="004805EB"/>
    <w:rsid w:val="00482462"/>
    <w:rsid w:val="004840E7"/>
    <w:rsid w:val="004969DB"/>
    <w:rsid w:val="004B1DEE"/>
    <w:rsid w:val="004B4FF0"/>
    <w:rsid w:val="004C368A"/>
    <w:rsid w:val="004D0725"/>
    <w:rsid w:val="004D527E"/>
    <w:rsid w:val="004E0A31"/>
    <w:rsid w:val="004E2AAD"/>
    <w:rsid w:val="004E3BF4"/>
    <w:rsid w:val="004F4A83"/>
    <w:rsid w:val="00500A0B"/>
    <w:rsid w:val="00502E3E"/>
    <w:rsid w:val="00506DEF"/>
    <w:rsid w:val="00514BFA"/>
    <w:rsid w:val="00571D40"/>
    <w:rsid w:val="005A0271"/>
    <w:rsid w:val="005A530C"/>
    <w:rsid w:val="005A6CB2"/>
    <w:rsid w:val="005B0D44"/>
    <w:rsid w:val="005B620B"/>
    <w:rsid w:val="005B64EB"/>
    <w:rsid w:val="005E29C7"/>
    <w:rsid w:val="00601D91"/>
    <w:rsid w:val="00605893"/>
    <w:rsid w:val="00607301"/>
    <w:rsid w:val="00640BFD"/>
    <w:rsid w:val="00650C6F"/>
    <w:rsid w:val="00654420"/>
    <w:rsid w:val="00665B02"/>
    <w:rsid w:val="0066753F"/>
    <w:rsid w:val="006714CC"/>
    <w:rsid w:val="0068306B"/>
    <w:rsid w:val="00695DD2"/>
    <w:rsid w:val="0069604B"/>
    <w:rsid w:val="0069693B"/>
    <w:rsid w:val="006A14E9"/>
    <w:rsid w:val="006A1614"/>
    <w:rsid w:val="006B2DAE"/>
    <w:rsid w:val="006C264C"/>
    <w:rsid w:val="006C6A8C"/>
    <w:rsid w:val="006D26D0"/>
    <w:rsid w:val="006E04C1"/>
    <w:rsid w:val="006E3AE3"/>
    <w:rsid w:val="006E537D"/>
    <w:rsid w:val="006F4B9C"/>
    <w:rsid w:val="006F710F"/>
    <w:rsid w:val="006F74DE"/>
    <w:rsid w:val="00700B26"/>
    <w:rsid w:val="007267C9"/>
    <w:rsid w:val="0073740C"/>
    <w:rsid w:val="00740D49"/>
    <w:rsid w:val="00744FC4"/>
    <w:rsid w:val="0074512F"/>
    <w:rsid w:val="0075637A"/>
    <w:rsid w:val="007602C0"/>
    <w:rsid w:val="00761C6D"/>
    <w:rsid w:val="007669DC"/>
    <w:rsid w:val="0078172C"/>
    <w:rsid w:val="007A0556"/>
    <w:rsid w:val="007A7C19"/>
    <w:rsid w:val="007B28B3"/>
    <w:rsid w:val="007B2AD7"/>
    <w:rsid w:val="007B3CBB"/>
    <w:rsid w:val="007C25B0"/>
    <w:rsid w:val="007D78C8"/>
    <w:rsid w:val="007E33E9"/>
    <w:rsid w:val="007F20D1"/>
    <w:rsid w:val="007F21EA"/>
    <w:rsid w:val="007F2E2D"/>
    <w:rsid w:val="007F2E40"/>
    <w:rsid w:val="00803650"/>
    <w:rsid w:val="008109F8"/>
    <w:rsid w:val="00816363"/>
    <w:rsid w:val="0081650D"/>
    <w:rsid w:val="00820F05"/>
    <w:rsid w:val="008258EA"/>
    <w:rsid w:val="008405B2"/>
    <w:rsid w:val="00840B10"/>
    <w:rsid w:val="00841F69"/>
    <w:rsid w:val="00842E94"/>
    <w:rsid w:val="00845DDB"/>
    <w:rsid w:val="0085484C"/>
    <w:rsid w:val="00861C50"/>
    <w:rsid w:val="00872CFC"/>
    <w:rsid w:val="008829EC"/>
    <w:rsid w:val="00883E1A"/>
    <w:rsid w:val="008951CB"/>
    <w:rsid w:val="00896244"/>
    <w:rsid w:val="008A03BF"/>
    <w:rsid w:val="008B51E0"/>
    <w:rsid w:val="008C48D1"/>
    <w:rsid w:val="008D565D"/>
    <w:rsid w:val="008E4B8A"/>
    <w:rsid w:val="008F5E19"/>
    <w:rsid w:val="00907C41"/>
    <w:rsid w:val="00910608"/>
    <w:rsid w:val="0091745C"/>
    <w:rsid w:val="00917C31"/>
    <w:rsid w:val="00922FF3"/>
    <w:rsid w:val="00934875"/>
    <w:rsid w:val="00941839"/>
    <w:rsid w:val="0097503F"/>
    <w:rsid w:val="0097798A"/>
    <w:rsid w:val="00981521"/>
    <w:rsid w:val="00987416"/>
    <w:rsid w:val="009959D2"/>
    <w:rsid w:val="00996381"/>
    <w:rsid w:val="00997A68"/>
    <w:rsid w:val="009A3635"/>
    <w:rsid w:val="009A45C9"/>
    <w:rsid w:val="009A5733"/>
    <w:rsid w:val="009A76AE"/>
    <w:rsid w:val="009C7B9F"/>
    <w:rsid w:val="009C7CF9"/>
    <w:rsid w:val="009D23CB"/>
    <w:rsid w:val="009D5638"/>
    <w:rsid w:val="009D6111"/>
    <w:rsid w:val="009E341A"/>
    <w:rsid w:val="009F019E"/>
    <w:rsid w:val="009F2EEB"/>
    <w:rsid w:val="00A0590D"/>
    <w:rsid w:val="00A11CE4"/>
    <w:rsid w:val="00A22C1B"/>
    <w:rsid w:val="00A26151"/>
    <w:rsid w:val="00A30A6B"/>
    <w:rsid w:val="00A57D2A"/>
    <w:rsid w:val="00A61F83"/>
    <w:rsid w:val="00A65D2C"/>
    <w:rsid w:val="00A73C70"/>
    <w:rsid w:val="00A76595"/>
    <w:rsid w:val="00A857F9"/>
    <w:rsid w:val="00A92901"/>
    <w:rsid w:val="00A9384A"/>
    <w:rsid w:val="00AA4D24"/>
    <w:rsid w:val="00AA5A60"/>
    <w:rsid w:val="00AC1F03"/>
    <w:rsid w:val="00AC771A"/>
    <w:rsid w:val="00AD512D"/>
    <w:rsid w:val="00AE312C"/>
    <w:rsid w:val="00AF18EB"/>
    <w:rsid w:val="00B002CC"/>
    <w:rsid w:val="00B17824"/>
    <w:rsid w:val="00B24705"/>
    <w:rsid w:val="00B27245"/>
    <w:rsid w:val="00B327D3"/>
    <w:rsid w:val="00B563F5"/>
    <w:rsid w:val="00B65063"/>
    <w:rsid w:val="00B764C6"/>
    <w:rsid w:val="00B7798C"/>
    <w:rsid w:val="00B95720"/>
    <w:rsid w:val="00BB2ECB"/>
    <w:rsid w:val="00BB4E67"/>
    <w:rsid w:val="00BC07E9"/>
    <w:rsid w:val="00BE7436"/>
    <w:rsid w:val="00BF3942"/>
    <w:rsid w:val="00BF3CC0"/>
    <w:rsid w:val="00BF44B3"/>
    <w:rsid w:val="00BF7C41"/>
    <w:rsid w:val="00C012F5"/>
    <w:rsid w:val="00C01CB2"/>
    <w:rsid w:val="00C111A9"/>
    <w:rsid w:val="00C16CD4"/>
    <w:rsid w:val="00C209A5"/>
    <w:rsid w:val="00C2118D"/>
    <w:rsid w:val="00C23048"/>
    <w:rsid w:val="00C25584"/>
    <w:rsid w:val="00C501AF"/>
    <w:rsid w:val="00C51791"/>
    <w:rsid w:val="00C519A3"/>
    <w:rsid w:val="00C7251E"/>
    <w:rsid w:val="00C7589A"/>
    <w:rsid w:val="00C852DE"/>
    <w:rsid w:val="00C859BC"/>
    <w:rsid w:val="00CA139A"/>
    <w:rsid w:val="00CA4ABF"/>
    <w:rsid w:val="00CB40D8"/>
    <w:rsid w:val="00CB61BB"/>
    <w:rsid w:val="00CB7DDB"/>
    <w:rsid w:val="00CC4FCF"/>
    <w:rsid w:val="00CC7118"/>
    <w:rsid w:val="00CE4AE1"/>
    <w:rsid w:val="00CF6382"/>
    <w:rsid w:val="00D006FB"/>
    <w:rsid w:val="00D02FF8"/>
    <w:rsid w:val="00D10DBF"/>
    <w:rsid w:val="00D13E67"/>
    <w:rsid w:val="00D23695"/>
    <w:rsid w:val="00D237DE"/>
    <w:rsid w:val="00D27C3C"/>
    <w:rsid w:val="00D3703F"/>
    <w:rsid w:val="00D42693"/>
    <w:rsid w:val="00D4799A"/>
    <w:rsid w:val="00D61C26"/>
    <w:rsid w:val="00D674E1"/>
    <w:rsid w:val="00D75777"/>
    <w:rsid w:val="00D92401"/>
    <w:rsid w:val="00DC3FDE"/>
    <w:rsid w:val="00DC62F9"/>
    <w:rsid w:val="00DE1550"/>
    <w:rsid w:val="00DE1BC3"/>
    <w:rsid w:val="00DF1B1C"/>
    <w:rsid w:val="00DF1D2A"/>
    <w:rsid w:val="00E0324C"/>
    <w:rsid w:val="00E221FD"/>
    <w:rsid w:val="00E42210"/>
    <w:rsid w:val="00E42286"/>
    <w:rsid w:val="00E476A4"/>
    <w:rsid w:val="00E55986"/>
    <w:rsid w:val="00E61C7F"/>
    <w:rsid w:val="00E630AB"/>
    <w:rsid w:val="00E80CBB"/>
    <w:rsid w:val="00E82308"/>
    <w:rsid w:val="00E917EB"/>
    <w:rsid w:val="00EB0E61"/>
    <w:rsid w:val="00EB73C8"/>
    <w:rsid w:val="00EC354A"/>
    <w:rsid w:val="00ED0782"/>
    <w:rsid w:val="00ED1CF9"/>
    <w:rsid w:val="00EF07C9"/>
    <w:rsid w:val="00EF1435"/>
    <w:rsid w:val="00F35F3D"/>
    <w:rsid w:val="00F453FA"/>
    <w:rsid w:val="00F4640A"/>
    <w:rsid w:val="00F646B7"/>
    <w:rsid w:val="00F71A9F"/>
    <w:rsid w:val="00F74439"/>
    <w:rsid w:val="00F75D04"/>
    <w:rsid w:val="00F8446B"/>
    <w:rsid w:val="00F85A98"/>
    <w:rsid w:val="00F978DA"/>
    <w:rsid w:val="00FB191C"/>
    <w:rsid w:val="00FB2813"/>
    <w:rsid w:val="00FB6771"/>
    <w:rsid w:val="00FB6AD7"/>
    <w:rsid w:val="00FC226B"/>
    <w:rsid w:val="00FE14BF"/>
    <w:rsid w:val="00FE5DF2"/>
    <w:rsid w:val="00FE5E8E"/>
    <w:rsid w:val="00FE60CA"/>
    <w:rsid w:val="00FE7DA1"/>
    <w:rsid w:val="0EF3B399"/>
    <w:rsid w:val="4170B6B9"/>
    <w:rsid w:val="485D6862"/>
    <w:rsid w:val="7B43DB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23F6"/>
  <w15:chartTrackingRefBased/>
  <w15:docId w15:val="{588BC4C2-20B5-4E49-9FFC-AEAFBD1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650"/>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E61C7F"/>
    <w:rPr>
      <w:color w:val="0563C1" w:themeColor="hyperlink"/>
      <w:u w:val="single"/>
    </w:rPr>
  </w:style>
  <w:style w:type="character" w:styleId="UnresolvedMention">
    <w:name w:val="Unresolved Mention"/>
    <w:basedOn w:val="DefaultParagraphFont"/>
    <w:uiPriority w:val="99"/>
    <w:semiHidden/>
    <w:unhideWhenUsed/>
    <w:rsid w:val="00E61C7F"/>
    <w:rPr>
      <w:color w:val="605E5C"/>
      <w:shd w:val="clear" w:color="auto" w:fill="E1DFDD"/>
    </w:rPr>
  </w:style>
  <w:style w:type="paragraph" w:styleId="ListParagraph">
    <w:name w:val="List Paragraph"/>
    <w:basedOn w:val="Normal"/>
    <w:uiPriority w:val="34"/>
    <w:qFormat/>
    <w:rsid w:val="00B7798C"/>
    <w:pPr>
      <w:ind w:left="720"/>
      <w:contextualSpacing/>
    </w:pPr>
  </w:style>
  <w:style w:type="paragraph" w:styleId="Header">
    <w:name w:val="header"/>
    <w:basedOn w:val="Normal"/>
    <w:link w:val="HeaderChar"/>
    <w:uiPriority w:val="99"/>
    <w:unhideWhenUsed/>
    <w:rsid w:val="00D10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DBF"/>
  </w:style>
  <w:style w:type="paragraph" w:styleId="Footer">
    <w:name w:val="footer"/>
    <w:basedOn w:val="Normal"/>
    <w:link w:val="FooterChar"/>
    <w:uiPriority w:val="99"/>
    <w:unhideWhenUsed/>
    <w:rsid w:val="00D10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DBF"/>
  </w:style>
  <w:style w:type="character" w:styleId="CommentReference">
    <w:name w:val="annotation reference"/>
    <w:basedOn w:val="DefaultParagraphFont"/>
    <w:uiPriority w:val="99"/>
    <w:semiHidden/>
    <w:unhideWhenUsed/>
    <w:rsid w:val="00054BCD"/>
    <w:rPr>
      <w:sz w:val="16"/>
      <w:szCs w:val="16"/>
    </w:rPr>
  </w:style>
  <w:style w:type="paragraph" w:styleId="CommentText">
    <w:name w:val="annotation text"/>
    <w:basedOn w:val="Normal"/>
    <w:link w:val="CommentTextChar"/>
    <w:uiPriority w:val="99"/>
    <w:unhideWhenUsed/>
    <w:rsid w:val="00054BCD"/>
    <w:pPr>
      <w:spacing w:line="240" w:lineRule="auto"/>
    </w:pPr>
    <w:rPr>
      <w:szCs w:val="20"/>
    </w:rPr>
  </w:style>
  <w:style w:type="character" w:customStyle="1" w:styleId="CommentTextChar">
    <w:name w:val="Comment Text Char"/>
    <w:basedOn w:val="DefaultParagraphFont"/>
    <w:link w:val="CommentText"/>
    <w:uiPriority w:val="99"/>
    <w:rsid w:val="00054BCD"/>
    <w:rPr>
      <w:szCs w:val="20"/>
    </w:rPr>
  </w:style>
  <w:style w:type="paragraph" w:styleId="CommentSubject">
    <w:name w:val="annotation subject"/>
    <w:basedOn w:val="CommentText"/>
    <w:next w:val="CommentText"/>
    <w:link w:val="CommentSubjectChar"/>
    <w:uiPriority w:val="99"/>
    <w:semiHidden/>
    <w:unhideWhenUsed/>
    <w:rsid w:val="00054BCD"/>
    <w:rPr>
      <w:b/>
      <w:bCs/>
    </w:rPr>
  </w:style>
  <w:style w:type="character" w:customStyle="1" w:styleId="CommentSubjectChar">
    <w:name w:val="Comment Subject Char"/>
    <w:basedOn w:val="CommentTextChar"/>
    <w:link w:val="CommentSubject"/>
    <w:uiPriority w:val="99"/>
    <w:semiHidden/>
    <w:rsid w:val="00054BC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5343">
      <w:bodyDiv w:val="1"/>
      <w:marLeft w:val="0"/>
      <w:marRight w:val="0"/>
      <w:marTop w:val="0"/>
      <w:marBottom w:val="0"/>
      <w:divBdr>
        <w:top w:val="none" w:sz="0" w:space="0" w:color="auto"/>
        <w:left w:val="none" w:sz="0" w:space="0" w:color="auto"/>
        <w:bottom w:val="none" w:sz="0" w:space="0" w:color="auto"/>
        <w:right w:val="none" w:sz="0" w:space="0" w:color="auto"/>
      </w:divBdr>
    </w:div>
    <w:div w:id="484778812">
      <w:bodyDiv w:val="1"/>
      <w:marLeft w:val="0"/>
      <w:marRight w:val="0"/>
      <w:marTop w:val="0"/>
      <w:marBottom w:val="0"/>
      <w:divBdr>
        <w:top w:val="none" w:sz="0" w:space="0" w:color="auto"/>
        <w:left w:val="none" w:sz="0" w:space="0" w:color="auto"/>
        <w:bottom w:val="none" w:sz="0" w:space="0" w:color="auto"/>
        <w:right w:val="none" w:sz="0" w:space="0" w:color="auto"/>
      </w:divBdr>
    </w:div>
    <w:div w:id="645014962">
      <w:bodyDiv w:val="1"/>
      <w:marLeft w:val="0"/>
      <w:marRight w:val="0"/>
      <w:marTop w:val="0"/>
      <w:marBottom w:val="0"/>
      <w:divBdr>
        <w:top w:val="none" w:sz="0" w:space="0" w:color="auto"/>
        <w:left w:val="none" w:sz="0" w:space="0" w:color="auto"/>
        <w:bottom w:val="none" w:sz="0" w:space="0" w:color="auto"/>
        <w:right w:val="none" w:sz="0" w:space="0" w:color="auto"/>
      </w:divBdr>
    </w:div>
    <w:div w:id="1164127614">
      <w:bodyDiv w:val="1"/>
      <w:marLeft w:val="0"/>
      <w:marRight w:val="0"/>
      <w:marTop w:val="0"/>
      <w:marBottom w:val="0"/>
      <w:divBdr>
        <w:top w:val="none" w:sz="0" w:space="0" w:color="auto"/>
        <w:left w:val="none" w:sz="0" w:space="0" w:color="auto"/>
        <w:bottom w:val="none" w:sz="0" w:space="0" w:color="auto"/>
        <w:right w:val="none" w:sz="0" w:space="0" w:color="auto"/>
      </w:divBdr>
    </w:div>
    <w:div w:id="1322078477">
      <w:bodyDiv w:val="1"/>
      <w:marLeft w:val="0"/>
      <w:marRight w:val="0"/>
      <w:marTop w:val="0"/>
      <w:marBottom w:val="0"/>
      <w:divBdr>
        <w:top w:val="none" w:sz="0" w:space="0" w:color="auto"/>
        <w:left w:val="none" w:sz="0" w:space="0" w:color="auto"/>
        <w:bottom w:val="none" w:sz="0" w:space="0" w:color="auto"/>
        <w:right w:val="none" w:sz="0" w:space="0" w:color="auto"/>
      </w:divBdr>
    </w:div>
    <w:div w:id="1555779130">
      <w:bodyDiv w:val="1"/>
      <w:marLeft w:val="0"/>
      <w:marRight w:val="0"/>
      <w:marTop w:val="0"/>
      <w:marBottom w:val="0"/>
      <w:divBdr>
        <w:top w:val="none" w:sz="0" w:space="0" w:color="auto"/>
        <w:left w:val="none" w:sz="0" w:space="0" w:color="auto"/>
        <w:bottom w:val="none" w:sz="0" w:space="0" w:color="auto"/>
        <w:right w:val="none" w:sz="0" w:space="0" w:color="auto"/>
      </w:divBdr>
    </w:div>
    <w:div w:id="1575508758">
      <w:bodyDiv w:val="1"/>
      <w:marLeft w:val="0"/>
      <w:marRight w:val="0"/>
      <w:marTop w:val="0"/>
      <w:marBottom w:val="0"/>
      <w:divBdr>
        <w:top w:val="none" w:sz="0" w:space="0" w:color="auto"/>
        <w:left w:val="none" w:sz="0" w:space="0" w:color="auto"/>
        <w:bottom w:val="none" w:sz="0" w:space="0" w:color="auto"/>
        <w:right w:val="none" w:sz="0" w:space="0" w:color="auto"/>
      </w:divBdr>
    </w:div>
    <w:div w:id="1680500532">
      <w:bodyDiv w:val="1"/>
      <w:marLeft w:val="0"/>
      <w:marRight w:val="0"/>
      <w:marTop w:val="0"/>
      <w:marBottom w:val="0"/>
      <w:divBdr>
        <w:top w:val="none" w:sz="0" w:space="0" w:color="auto"/>
        <w:left w:val="none" w:sz="0" w:space="0" w:color="auto"/>
        <w:bottom w:val="none" w:sz="0" w:space="0" w:color="auto"/>
        <w:right w:val="none" w:sz="0" w:space="0" w:color="auto"/>
      </w:divBdr>
    </w:div>
    <w:div w:id="1940334523">
      <w:bodyDiv w:val="1"/>
      <w:marLeft w:val="0"/>
      <w:marRight w:val="0"/>
      <w:marTop w:val="0"/>
      <w:marBottom w:val="0"/>
      <w:divBdr>
        <w:top w:val="none" w:sz="0" w:space="0" w:color="auto"/>
        <w:left w:val="none" w:sz="0" w:space="0" w:color="auto"/>
        <w:bottom w:val="none" w:sz="0" w:space="0" w:color="auto"/>
        <w:right w:val="none" w:sz="0" w:space="0" w:color="auto"/>
      </w:divBdr>
    </w:div>
    <w:div w:id="19417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pd.org/uk/about/public-policy/our-calls-for-action/value-money-defined-contribution-pensions/" TargetMode="External"/><Relationship Id="rId5" Type="http://schemas.openxmlformats.org/officeDocument/2006/relationships/settings" Target="settings.xml"/><Relationship Id="rId10" Type="http://schemas.openxmlformats.org/officeDocument/2006/relationships/hyperlink" Target="wpieconomics.com/site/wp-content/uploads/2023/11/Phoenix-Report-231116-Web.pdf" TargetMode="External"/><Relationship Id="rId4" Type="http://schemas.openxmlformats.org/officeDocument/2006/relationships/styles" Target="styles.xml"/><Relationship Id="rId9" Type="http://schemas.openxmlformats.org/officeDocument/2006/relationships/hyperlink" Target="https://www.cipd.org/uk/views-and-insights/thought-leadership/cipd-voice/defined-pension-valu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EBF3254698C4980F00842609067C1" ma:contentTypeVersion="13" ma:contentTypeDescription="Create a new document." ma:contentTypeScope="" ma:versionID="ed80defbaf3b202ef4611a07b71b1841">
  <xsd:schema xmlns:xsd="http://www.w3.org/2001/XMLSchema" xmlns:xs="http://www.w3.org/2001/XMLSchema" xmlns:p="http://schemas.microsoft.com/office/2006/metadata/properties" xmlns:ns1="http://schemas.microsoft.com/sharepoint/v3" xmlns:ns2="7fce8b20-a09e-42bb-8c5b-5ac33f6855a1" xmlns:ns3="3b246ece-47df-4501-95ee-36fed4652978" targetNamespace="http://schemas.microsoft.com/office/2006/metadata/properties" ma:root="true" ma:fieldsID="34016bdb05cc219e156df069f5dd607d" ns1:_="" ns2:_="" ns3:_="">
    <xsd:import namespace="http://schemas.microsoft.com/sharepoint/v3"/>
    <xsd:import namespace="7fce8b20-a09e-42bb-8c5b-5ac33f6855a1"/>
    <xsd:import namespace="3b246ece-47df-4501-95ee-36fed46529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e8b20-a09e-42bb-8c5b-5ac33f68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7d20aa-0221-4162-a930-0a2b945759e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46ece-47df-4501-95ee-36fed46529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07CDD-8C1A-47E6-B01C-CC6741B7F9A5}">
  <ds:schemaRefs>
    <ds:schemaRef ds:uri="http://schemas.microsoft.com/sharepoint/v3/contenttype/forms"/>
  </ds:schemaRefs>
</ds:datastoreItem>
</file>

<file path=customXml/itemProps2.xml><?xml version="1.0" encoding="utf-8"?>
<ds:datastoreItem xmlns:ds="http://schemas.openxmlformats.org/officeDocument/2006/customXml" ds:itemID="{035CA18C-CEAB-4209-A508-106FF641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ce8b20-a09e-42bb-8c5b-5ac33f6855a1"/>
    <ds:schemaRef ds:uri="3b246ece-47df-4501-95ee-36fed4652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McCartney</dc:creator>
  <cp:keywords/>
  <dc:description/>
  <cp:lastModifiedBy>Amie Evans</cp:lastModifiedBy>
  <cp:revision>3</cp:revision>
  <dcterms:created xsi:type="dcterms:W3CDTF">2024-01-24T09:14:00Z</dcterms:created>
  <dcterms:modified xsi:type="dcterms:W3CDTF">2024-01-24T09:42:00Z</dcterms:modified>
</cp:coreProperties>
</file>